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284" w:type="dxa"/>
        <w:tblLook w:val="01E0" w:firstRow="1" w:lastRow="1" w:firstColumn="1" w:lastColumn="1" w:noHBand="0" w:noVBand="0"/>
      </w:tblPr>
      <w:tblGrid>
        <w:gridCol w:w="10284"/>
      </w:tblGrid>
      <w:tr w:rsidR="00EA2B53" w:rsidRPr="00F74678" w:rsidTr="001B7ED5">
        <w:trPr>
          <w:trHeight w:hRule="exact" w:val="2693"/>
        </w:trPr>
        <w:tc>
          <w:tcPr>
            <w:tcW w:w="10284" w:type="dxa"/>
            <w:shd w:val="clear" w:color="auto" w:fill="auto"/>
          </w:tcPr>
          <w:p w:rsidR="00EA2B53" w:rsidRDefault="00627A8D" w:rsidP="00915D5A">
            <w:pPr>
              <w:pStyle w:val="Toptitle"/>
              <w:framePr w:hSpace="0" w:wrap="auto" w:vAnchor="margin" w:hAnchor="text" w:yAlign="inline"/>
            </w:pPr>
            <w:r>
              <w:t>Committees of management</w:t>
            </w:r>
          </w:p>
          <w:p w:rsidR="00EA2B53" w:rsidRPr="003F3A22" w:rsidRDefault="00EA2B53" w:rsidP="007057A1">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37D4CC4E" wp14:editId="79AEAB91">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4C1F3C" w:rsidP="00DF494B">
                                  <w:pPr>
                                    <w:pStyle w:val="CertHDWhite"/>
                                    <w:rPr>
                                      <w:sz w:val="32"/>
                                      <w:szCs w:val="32"/>
                                    </w:rPr>
                                  </w:pPr>
                                  <w:r>
                                    <w:rPr>
                                      <w:sz w:val="32"/>
                                      <w:szCs w:val="32"/>
                                    </w:rPr>
                                    <w:t xml:space="preserve">Template </w:t>
                                  </w:r>
                                  <w:r w:rsidR="00226F81">
                                    <w:rPr>
                                      <w:sz w:val="32"/>
                                      <w:szCs w:val="32"/>
                                    </w:rPr>
                                    <w:t>(3</w:t>
                                  </w:r>
                                  <w:r w:rsidR="00C82781">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4C1F3C" w:rsidP="00DF494B">
                            <w:pPr>
                              <w:pStyle w:val="CertHDWhite"/>
                              <w:rPr>
                                <w:sz w:val="32"/>
                                <w:szCs w:val="32"/>
                              </w:rPr>
                            </w:pPr>
                            <w:r>
                              <w:rPr>
                                <w:sz w:val="32"/>
                                <w:szCs w:val="32"/>
                              </w:rPr>
                              <w:t xml:space="preserve">Template </w:t>
                            </w:r>
                            <w:r w:rsidR="00226F81">
                              <w:rPr>
                                <w:sz w:val="32"/>
                                <w:szCs w:val="32"/>
                              </w:rPr>
                              <w:t>(3</w:t>
                            </w:r>
                            <w:r w:rsidR="00C82781">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v:textbox>
                    </v:shape>
                  </w:pict>
                </mc:Fallback>
              </mc:AlternateContent>
            </w:r>
            <w:r w:rsidR="00315FF2">
              <w:t>Code of conduct</w:t>
            </w:r>
            <w:r w:rsidR="003B67C9">
              <w:t xml:space="preserve"> </w:t>
            </w:r>
            <w:r w:rsidR="00EA57C2">
              <w:t>(including gifts)</w:t>
            </w:r>
            <w:r w:rsidR="007057A1">
              <w:t xml:space="preserve"> – model policy</w:t>
            </w:r>
          </w:p>
        </w:tc>
      </w:tr>
    </w:tbl>
    <w:p w:rsidR="002C12AF" w:rsidRDefault="002C12AF" w:rsidP="00EA2B53">
      <w:pPr>
        <w:spacing w:before="400"/>
      </w:pPr>
    </w:p>
    <w:p w:rsidR="00EA2B53" w:rsidRDefault="00EA2B53" w:rsidP="001855F2"/>
    <w:p w:rsidR="001C6872" w:rsidRDefault="001C6872" w:rsidP="001C6872">
      <w:r w:rsidRPr="009A36A7">
        <w:t>This</w:t>
      </w:r>
      <w:r>
        <w:t xml:space="preserve"> model policy is suitable for small voluntary </w:t>
      </w:r>
      <w:r w:rsidRPr="00FE5888">
        <w:t>(category 3)</w:t>
      </w:r>
      <w:r>
        <w:t xml:space="preserve"> committees of management of crown land reserves. </w:t>
      </w:r>
      <w:r w:rsidR="00F7280D">
        <w:br/>
      </w:r>
      <w:r w:rsidR="00E63E39">
        <w:t xml:space="preserve">It is available from the </w:t>
      </w:r>
      <w:r w:rsidR="00F7280D" w:rsidRPr="00600031">
        <w:t>Committees of M</w:t>
      </w:r>
      <w:r w:rsidR="00E63E39" w:rsidRPr="00600031">
        <w:t>anagement</w:t>
      </w:r>
      <w:r w:rsidR="00E63E39">
        <w:t xml:space="preserve"> support module on DELWP’s governance website, On Board (</w:t>
      </w:r>
      <w:hyperlink r:id="rId9" w:history="1">
        <w:r w:rsidR="00E63E39" w:rsidRPr="00C62E6C">
          <w:rPr>
            <w:rStyle w:val="Hyperlink"/>
          </w:rPr>
          <w:t>www.delwp.vic.gov.au/committees</w:t>
        </w:r>
      </w:hyperlink>
      <w:r w:rsidR="00E63E39">
        <w:t xml:space="preserve">) </w:t>
      </w:r>
    </w:p>
    <w:p w:rsidR="00BC5868" w:rsidRDefault="001C6872" w:rsidP="00BC5868">
      <w:r>
        <w:t xml:space="preserve">Major agencies in the Department of Environment, Land, Water and Planning </w:t>
      </w:r>
      <w:r w:rsidRPr="0032665C">
        <w:t>(DELWP)</w:t>
      </w:r>
      <w:r>
        <w:t xml:space="preserve"> portfolio, including category 1 and 2 committees, have additional obligations and should use the standard model policy in the</w:t>
      </w:r>
      <w:r w:rsidR="0024155C">
        <w:t xml:space="preserve"> </w:t>
      </w:r>
      <w:r w:rsidR="0024155C" w:rsidRPr="00600031">
        <w:t>Code of Conduct</w:t>
      </w:r>
      <w:r>
        <w:t xml:space="preserve"> support model on </w:t>
      </w:r>
      <w:proofErr w:type="spellStart"/>
      <w:r w:rsidRPr="0032665C">
        <w:t>On</w:t>
      </w:r>
      <w:proofErr w:type="spellEnd"/>
      <w:r w:rsidRPr="0032665C">
        <w:t xml:space="preserve"> Board</w:t>
      </w:r>
      <w:r>
        <w:t xml:space="preserve"> (</w:t>
      </w:r>
      <w:hyperlink r:id="rId10" w:history="1">
        <w:r w:rsidRPr="00917B2D">
          <w:rPr>
            <w:rStyle w:val="Hyperlink"/>
          </w:rPr>
          <w:t>www.delwp.vic.gov.au/onboard</w:t>
        </w:r>
      </w:hyperlink>
      <w:r>
        <w:t xml:space="preserve">).  </w:t>
      </w:r>
    </w:p>
    <w:p w:rsidR="001C6872" w:rsidRPr="00BC5868" w:rsidRDefault="001C6872" w:rsidP="00C27518">
      <w:pPr>
        <w:spacing w:after="100"/>
      </w:pPr>
      <w:r>
        <w:t xml:space="preserve">Your committee should use the standard model policy </w:t>
      </w:r>
      <w:r w:rsidR="00BC5868">
        <w:t xml:space="preserve">instead of this one </w:t>
      </w:r>
      <w:r>
        <w:t>if it manages annual revenue</w:t>
      </w:r>
      <w:r>
        <w:rPr>
          <w:b/>
        </w:rPr>
        <w:t xml:space="preserve"> </w:t>
      </w:r>
      <w:r>
        <w:t>of more than $250,000</w:t>
      </w:r>
      <w:r w:rsidR="00BC5868">
        <w:t xml:space="preserve"> </w:t>
      </w:r>
      <w:r w:rsidR="00E73790">
        <w:rPr>
          <w:i/>
        </w:rPr>
        <w:t>or</w:t>
      </w:r>
      <w:r>
        <w:t xml:space="preserve"> has a c</w:t>
      </w:r>
      <w:r w:rsidRPr="001F341F">
        <w:t xml:space="preserve">ash balance of </w:t>
      </w:r>
      <w:r>
        <w:t>more</w:t>
      </w:r>
      <w:r w:rsidRPr="001F341F">
        <w:t xml:space="preserve"> than $250,000 current for three consecutive years</w:t>
      </w:r>
      <w:r w:rsidR="00BC5868">
        <w:t xml:space="preserve"> </w:t>
      </w:r>
      <w:r w:rsidR="00E73790">
        <w:rPr>
          <w:i/>
        </w:rPr>
        <w:t>or</w:t>
      </w:r>
      <w:r w:rsidR="00D6477D">
        <w:t xml:space="preserve"> manages c</w:t>
      </w:r>
      <w:r>
        <w:t>rown land of regional or state-wide significance</w:t>
      </w:r>
      <w:r w:rsidR="00BC5868">
        <w:t xml:space="preserve"> </w:t>
      </w:r>
      <w:r w:rsidR="00E73790">
        <w:rPr>
          <w:i/>
        </w:rPr>
        <w:t>or</w:t>
      </w:r>
      <w:r w:rsidR="00BC5868">
        <w:t xml:space="preserve"> </w:t>
      </w:r>
      <w:r>
        <w:t xml:space="preserve">manages coastal land </w:t>
      </w:r>
      <w:r w:rsidR="00E73790">
        <w:rPr>
          <w:i/>
        </w:rPr>
        <w:t>or</w:t>
      </w:r>
      <w:r>
        <w:t xml:space="preserve"> </w:t>
      </w:r>
      <w:r w:rsidR="003C4C6B">
        <w:t xml:space="preserve">has </w:t>
      </w:r>
      <w:r w:rsidR="00BC5868">
        <w:t>otherwise</w:t>
      </w:r>
      <w:r w:rsidR="006B35AF">
        <w:t xml:space="preserve"> </w:t>
      </w:r>
      <w:r w:rsidR="004F5651">
        <w:t xml:space="preserve">been </w:t>
      </w:r>
      <w:r w:rsidR="003C4C6B">
        <w:t xml:space="preserve">advised by DELWP </w:t>
      </w:r>
      <w:r>
        <w:t xml:space="preserve">that it is a category 1 or 2 </w:t>
      </w:r>
      <w:r w:rsidR="00BC5868">
        <w:t xml:space="preserve">committee </w:t>
      </w:r>
      <w:r>
        <w:t>(e.g. because it is managing a large development).</w:t>
      </w:r>
    </w:p>
    <w:p w:rsidR="00D84E61" w:rsidRPr="00A3042C" w:rsidRDefault="00D84E61" w:rsidP="00C27518">
      <w:pPr>
        <w:pStyle w:val="Heading1"/>
        <w:spacing w:before="40" w:after="240"/>
        <w:jc w:val="center"/>
        <w:rPr>
          <w:b/>
          <w:spacing w:val="3"/>
        </w:rPr>
      </w:pPr>
      <w:r w:rsidRPr="00A3042C">
        <w:rPr>
          <w:spacing w:val="3"/>
        </w:rPr>
        <w:t>…………………………………………………………………………</w:t>
      </w:r>
    </w:p>
    <w:p w:rsidR="00D84E61" w:rsidRPr="001013E9" w:rsidRDefault="00D84E61" w:rsidP="00D84E61">
      <w:pPr>
        <w:pStyle w:val="Heading5"/>
      </w:pPr>
      <w:r w:rsidRPr="001013E9">
        <w:t xml:space="preserve">[insert name of </w:t>
      </w:r>
      <w:r>
        <w:t>committee</w:t>
      </w:r>
      <w:r w:rsidRPr="001013E9">
        <w:t xml:space="preserve">] </w:t>
      </w:r>
    </w:p>
    <w:p w:rsidR="00D84E61" w:rsidRPr="001013E9" w:rsidRDefault="00D84E61" w:rsidP="00C2005E">
      <w:pPr>
        <w:pStyle w:val="Heading4"/>
        <w:spacing w:after="440"/>
      </w:pPr>
      <w:r>
        <w:t>Code of Conduct</w:t>
      </w:r>
      <w:r w:rsidRPr="001013E9">
        <w:t xml:space="preserve"> </w:t>
      </w:r>
      <w:r w:rsidR="001B7ED5">
        <w:t xml:space="preserve">(including gifts) </w:t>
      </w:r>
      <w:r w:rsidRPr="001013E9">
        <w:t xml:space="preserve">– </w:t>
      </w:r>
      <w:r>
        <w:t>committee</w:t>
      </w:r>
      <w:r w:rsidRPr="001013E9">
        <w:t xml:space="preserve"> policy</w:t>
      </w:r>
    </w:p>
    <w:p w:rsidR="00D84E61" w:rsidRPr="00C27518" w:rsidRDefault="00D84E61" w:rsidP="00C2005E">
      <w:pPr>
        <w:pStyle w:val="Heading1"/>
        <w:spacing w:before="240" w:after="120"/>
      </w:pPr>
      <w:r w:rsidRPr="00C27518">
        <w:t>1.</w:t>
      </w:r>
      <w:r w:rsidRPr="00C27518">
        <w:tab/>
        <w:t>Scope</w:t>
      </w:r>
    </w:p>
    <w:p w:rsidR="00D84E61" w:rsidRDefault="00D84E61" w:rsidP="00D84E61">
      <w:r>
        <w:t xml:space="preserve">This policy sets out the committee’s code of conduct.  </w:t>
      </w:r>
    </w:p>
    <w:p w:rsidR="00D84E61" w:rsidRDefault="00D84E61" w:rsidP="00C2005E">
      <w:pPr>
        <w:pStyle w:val="Heading1"/>
      </w:pPr>
      <w:r>
        <w:t>2.</w:t>
      </w:r>
      <w:r>
        <w:tab/>
      </w:r>
      <w:r w:rsidR="008B2E7D">
        <w:t>S</w:t>
      </w:r>
      <w:r w:rsidR="00554654">
        <w:t>tandard</w:t>
      </w:r>
      <w:r>
        <w:t xml:space="preserve"> of conduct</w:t>
      </w:r>
    </w:p>
    <w:p w:rsidR="00D84E61" w:rsidRDefault="00D84E61" w:rsidP="00C2005E">
      <w:r>
        <w:t xml:space="preserve">Committee members act in the </w:t>
      </w:r>
      <w:r w:rsidRPr="00ED3C25">
        <w:rPr>
          <w:rFonts w:eastAsiaTheme="majorEastAsia"/>
          <w:b/>
        </w:rPr>
        <w:t>public interest</w:t>
      </w:r>
      <w:r>
        <w:t xml:space="preserve"> at all times (the </w:t>
      </w:r>
      <w:r w:rsidRPr="00255C05">
        <w:t>b</w:t>
      </w:r>
      <w:r>
        <w:t xml:space="preserve">est interests of managing the reserve). </w:t>
      </w:r>
      <w:r w:rsidR="00F00081">
        <w:t xml:space="preserve"> Each member is required to</w:t>
      </w:r>
      <w:r>
        <w:t>:</w:t>
      </w:r>
    </w:p>
    <w:p w:rsidR="00D84E61" w:rsidRPr="00EB598F" w:rsidRDefault="00D84E61" w:rsidP="00C2005E">
      <w:pPr>
        <w:pStyle w:val="ListBullet"/>
        <w:numPr>
          <w:ilvl w:val="0"/>
          <w:numId w:val="2"/>
        </w:numPr>
        <w:ind w:left="357" w:hanging="357"/>
      </w:pPr>
      <w:r>
        <w:t xml:space="preserve">act </w:t>
      </w:r>
      <w:r w:rsidRPr="00EB598F">
        <w:t xml:space="preserve">honestly, with integrity, in a financially responsible manner, with a reasonable degree of care, diligence and skill, in </w:t>
      </w:r>
      <w:r w:rsidR="006113E1">
        <w:t>compliance</w:t>
      </w:r>
      <w:r>
        <w:t xml:space="preserve"> with the </w:t>
      </w:r>
      <w:r w:rsidR="006113E1" w:rsidRPr="006113E1">
        <w:rPr>
          <w:i/>
        </w:rPr>
        <w:t>Crown Land (Reserves) Act</w:t>
      </w:r>
      <w:r w:rsidR="006113E1">
        <w:rPr>
          <w:i/>
        </w:rPr>
        <w:t xml:space="preserve"> 1978</w:t>
      </w:r>
      <w:r w:rsidR="006113E1">
        <w:t xml:space="preserve">, and </w:t>
      </w:r>
      <w:r w:rsidR="006113E1" w:rsidRPr="00EB598F">
        <w:t xml:space="preserve">in good faith in the best interests of </w:t>
      </w:r>
      <w:r w:rsidR="006113E1">
        <w:t>managing the reserve;</w:t>
      </w:r>
      <w:r w:rsidRPr="00EB598F">
        <w:t xml:space="preserve"> </w:t>
      </w:r>
    </w:p>
    <w:p w:rsidR="00D84E61" w:rsidRPr="00EB598F" w:rsidRDefault="00D84E61" w:rsidP="00C2005E">
      <w:pPr>
        <w:pStyle w:val="ListBullet"/>
        <w:numPr>
          <w:ilvl w:val="0"/>
          <w:numId w:val="2"/>
        </w:numPr>
        <w:ind w:left="357" w:hanging="357"/>
      </w:pPr>
      <w:r w:rsidRPr="0079579C">
        <w:t xml:space="preserve">maintain confidentiality, </w:t>
      </w:r>
      <w:r w:rsidRPr="006113E1">
        <w:t>even after their appointment expires or otherwise terminates;</w:t>
      </w:r>
      <w:r w:rsidRPr="00EB598F">
        <w:t xml:space="preserve"> </w:t>
      </w:r>
    </w:p>
    <w:p w:rsidR="006113E1" w:rsidRDefault="00D84E61" w:rsidP="00C2005E">
      <w:pPr>
        <w:pStyle w:val="ListBullet"/>
        <w:numPr>
          <w:ilvl w:val="0"/>
          <w:numId w:val="2"/>
        </w:numPr>
        <w:ind w:left="357" w:hanging="357"/>
      </w:pPr>
      <w:r>
        <w:t xml:space="preserve">avoid improperly using their position or any information acquired in their role as a committee member </w:t>
      </w:r>
      <w:r w:rsidRPr="00EB598F">
        <w:t xml:space="preserve">to gain advantage </w:t>
      </w:r>
      <w:r>
        <w:t xml:space="preserve">for themselves or another person </w:t>
      </w:r>
      <w:r w:rsidRPr="00EB598F">
        <w:t>or to cause detriment to</w:t>
      </w:r>
      <w:r>
        <w:t xml:space="preserve"> the committee;</w:t>
      </w:r>
      <w:r w:rsidR="007F0451">
        <w:t xml:space="preserve"> and</w:t>
      </w:r>
    </w:p>
    <w:p w:rsidR="00D84E61" w:rsidRDefault="00D84E61" w:rsidP="00C2005E">
      <w:pPr>
        <w:pStyle w:val="ListBullet"/>
        <w:numPr>
          <w:ilvl w:val="0"/>
          <w:numId w:val="2"/>
        </w:numPr>
        <w:spacing w:after="0"/>
        <w:ind w:left="357" w:hanging="357"/>
      </w:pPr>
      <w:r>
        <w:lastRenderedPageBreak/>
        <w:t xml:space="preserve">if standing for election to parliament or local council, formally notify the committee and avoid using any </w:t>
      </w:r>
      <w:r w:rsidR="00E93306">
        <w:t xml:space="preserve">committee </w:t>
      </w:r>
      <w:r>
        <w:t xml:space="preserve">resources </w:t>
      </w:r>
      <w:r w:rsidR="00E93306">
        <w:t>in connection with their</w:t>
      </w:r>
      <w:r>
        <w:t xml:space="preserve"> candidature.</w:t>
      </w:r>
      <w:r>
        <w:rPr>
          <w:rStyle w:val="FootnoteReference"/>
        </w:rPr>
        <w:footnoteReference w:id="1"/>
      </w:r>
      <w:r>
        <w:t xml:space="preserve">  </w:t>
      </w:r>
    </w:p>
    <w:p w:rsidR="00D84E61" w:rsidRDefault="00C064D8" w:rsidP="00C2005E">
      <w:pPr>
        <w:spacing w:before="120"/>
      </w:pPr>
      <w:r w:rsidRPr="00C064D8">
        <w:t xml:space="preserve">The </w:t>
      </w:r>
      <w:r>
        <w:t>above requirements are</w:t>
      </w:r>
      <w:r w:rsidRPr="00C064D8">
        <w:t xml:space="preserve"> based on </w:t>
      </w:r>
      <w:r>
        <w:t>the</w:t>
      </w:r>
      <w:r w:rsidRPr="00C064D8">
        <w:t xml:space="preserve"> </w:t>
      </w:r>
      <w:r>
        <w:t xml:space="preserve">‘duties of directors’ in section 79 of the </w:t>
      </w:r>
      <w:r w:rsidRPr="00C064D8">
        <w:rPr>
          <w:i/>
        </w:rPr>
        <w:t>Public Administration Act 2004</w:t>
      </w:r>
      <w:r>
        <w:t xml:space="preserve"> </w:t>
      </w:r>
      <w:r w:rsidR="00DE1597">
        <w:t xml:space="preserve">(PAA) </w:t>
      </w:r>
      <w:r>
        <w:t xml:space="preserve">and the </w:t>
      </w:r>
      <w:hyperlink r:id="rId11" w:history="1">
        <w:r w:rsidRPr="002C71FA">
          <w:rPr>
            <w:rStyle w:val="Hyperlink"/>
          </w:rPr>
          <w:t>Directors’ Code of Conduct</w:t>
        </w:r>
      </w:hyperlink>
      <w:r>
        <w:t>, which mirrors th</w:t>
      </w:r>
      <w:r w:rsidR="004A4BB9">
        <w:t>es</w:t>
      </w:r>
      <w:r>
        <w:t xml:space="preserve">e </w:t>
      </w:r>
      <w:r w:rsidR="004021FC">
        <w:t>obligations</w:t>
      </w:r>
      <w:r>
        <w:t xml:space="preserve"> and is legally binding on all committee members</w:t>
      </w:r>
      <w:r w:rsidR="00B54264">
        <w:t xml:space="preserve">.  </w:t>
      </w:r>
      <w:r w:rsidR="00D84E61">
        <w:t>For details, see Appendix 1.</w:t>
      </w:r>
    </w:p>
    <w:p w:rsidR="00D84E61" w:rsidRPr="0041194F" w:rsidRDefault="00554654" w:rsidP="00C2005E">
      <w:pPr>
        <w:pStyle w:val="Heading1"/>
        <w:spacing w:before="160" w:after="80"/>
      </w:pPr>
      <w:r>
        <w:t>3.</w:t>
      </w:r>
      <w:r>
        <w:tab/>
      </w:r>
      <w:r w:rsidR="00D84E61">
        <w:t>Committee policies</w:t>
      </w:r>
    </w:p>
    <w:p w:rsidR="00D84E61" w:rsidRDefault="00D84E61" w:rsidP="00C2005E">
      <w:pPr>
        <w:spacing w:after="100"/>
      </w:pPr>
      <w:r>
        <w:t xml:space="preserve">Committee </w:t>
      </w:r>
      <w:r w:rsidRPr="00197D6B">
        <w:t xml:space="preserve">members </w:t>
      </w:r>
      <w:r w:rsidR="002C1FCD">
        <w:t xml:space="preserve">are required to </w:t>
      </w:r>
      <w:r w:rsidRPr="00197D6B">
        <w:t xml:space="preserve">comply </w:t>
      </w:r>
      <w:r w:rsidR="00607E3A">
        <w:t xml:space="preserve">with </w:t>
      </w:r>
      <w:r>
        <w:t>the</w:t>
      </w:r>
      <w:r w:rsidRPr="00197D6B">
        <w:t xml:space="preserve"> </w:t>
      </w:r>
      <w:r>
        <w:t xml:space="preserve">committee’s policies, </w:t>
      </w:r>
      <w:r w:rsidR="00A90549">
        <w:t>in particular,</w:t>
      </w:r>
      <w:r>
        <w:t xml:space="preserve"> </w:t>
      </w:r>
      <w:r w:rsidR="002E3425">
        <w:t xml:space="preserve">this policy and the </w:t>
      </w:r>
      <w:r>
        <w:t>policies on:</w:t>
      </w:r>
    </w:p>
    <w:p w:rsidR="009B22FF" w:rsidRDefault="009B22FF" w:rsidP="00C2005E">
      <w:pPr>
        <w:pStyle w:val="ListBullet"/>
        <w:numPr>
          <w:ilvl w:val="0"/>
          <w:numId w:val="2"/>
        </w:numPr>
        <w:spacing w:after="100"/>
        <w:ind w:left="357" w:hanging="357"/>
      </w:pPr>
      <w:r>
        <w:t>Meetings and decisions</w:t>
      </w:r>
    </w:p>
    <w:p w:rsidR="00D84E61" w:rsidRDefault="00D84E61" w:rsidP="00C2005E">
      <w:pPr>
        <w:pStyle w:val="ListBullet"/>
        <w:numPr>
          <w:ilvl w:val="0"/>
          <w:numId w:val="2"/>
        </w:numPr>
        <w:spacing w:after="100"/>
        <w:ind w:left="357" w:hanging="357"/>
      </w:pPr>
      <w:r>
        <w:t>Conflict of interest</w:t>
      </w:r>
    </w:p>
    <w:p w:rsidR="00D84E61" w:rsidRDefault="00A32FCE" w:rsidP="00D84E61">
      <w:pPr>
        <w:pStyle w:val="ListBullet"/>
        <w:numPr>
          <w:ilvl w:val="0"/>
          <w:numId w:val="2"/>
        </w:numPr>
        <w:ind w:left="357" w:hanging="357"/>
      </w:pPr>
      <w:r>
        <w:t>Dispute re</w:t>
      </w:r>
      <w:r w:rsidR="00F34DA5">
        <w:t>s</w:t>
      </w:r>
      <w:r>
        <w:t>olution</w:t>
      </w:r>
      <w:r w:rsidR="00D84E61">
        <w:t>.</w:t>
      </w:r>
    </w:p>
    <w:p w:rsidR="00D84E61" w:rsidRDefault="00554654" w:rsidP="00C2005E">
      <w:pPr>
        <w:pStyle w:val="Heading1"/>
        <w:spacing w:before="160" w:after="80"/>
      </w:pPr>
      <w:r>
        <w:t>4.</w:t>
      </w:r>
      <w:r>
        <w:tab/>
      </w:r>
      <w:r w:rsidR="00D84E61">
        <w:t>Gifts, benefits and hospitality</w:t>
      </w:r>
    </w:p>
    <w:p w:rsidR="006B6A6F" w:rsidRDefault="00F3130E" w:rsidP="00A62968">
      <w:r>
        <w:t>Unless good reason exists otherwise, c</w:t>
      </w:r>
      <w:r w:rsidR="00D84E61">
        <w:t xml:space="preserve">ommittees members avoid accepting or giving gifts in their role as a member. </w:t>
      </w:r>
    </w:p>
    <w:p w:rsidR="006B6A6F" w:rsidRDefault="00B30354" w:rsidP="006B6A6F">
      <w:pPr>
        <w:pStyle w:val="ListBullet"/>
      </w:pPr>
      <w:r>
        <w:t xml:space="preserve">A </w:t>
      </w:r>
      <w:r w:rsidR="00741D85">
        <w:t>‘</w:t>
      </w:r>
      <w:r>
        <w:t>gift</w:t>
      </w:r>
      <w:r w:rsidR="00741D85">
        <w:t>’</w:t>
      </w:r>
      <w:r>
        <w:t xml:space="preserve"> is a free or heavily discounted item or service</w:t>
      </w:r>
      <w:r w:rsidR="00981F44">
        <w:t xml:space="preserve"> (e.g. an offer to </w:t>
      </w:r>
      <w:r w:rsidR="006B6A6F">
        <w:t>paint your fence</w:t>
      </w:r>
      <w:r w:rsidR="00981F44">
        <w:t xml:space="preserve"> at a reduced rate)</w:t>
      </w:r>
      <w:r>
        <w:t xml:space="preserve">.  </w:t>
      </w:r>
    </w:p>
    <w:p w:rsidR="003F6F20" w:rsidRDefault="006B6A6F" w:rsidP="006B6A6F">
      <w:pPr>
        <w:pStyle w:val="ListBullet"/>
      </w:pPr>
      <w:r>
        <w:t xml:space="preserve">The term ‘gift’ also </w:t>
      </w:r>
      <w:r w:rsidR="00D84E61">
        <w:t xml:space="preserve">includes </w:t>
      </w:r>
      <w:r w:rsidR="00981F44">
        <w:t>a benefit</w:t>
      </w:r>
      <w:r w:rsidR="00D84E61">
        <w:t xml:space="preserve"> </w:t>
      </w:r>
      <w:r>
        <w:t>or</w:t>
      </w:r>
      <w:r w:rsidR="00D84E61">
        <w:t xml:space="preserve"> hospitality</w:t>
      </w:r>
      <w:r>
        <w:t xml:space="preserve"> that exceeds</w:t>
      </w:r>
      <w:r w:rsidR="001F05C5">
        <w:t xml:space="preserve"> common courtesy (e.g. </w:t>
      </w:r>
      <w:r>
        <w:t xml:space="preserve">an offer of a </w:t>
      </w:r>
      <w:r w:rsidR="001F05C5">
        <w:t xml:space="preserve">cup of coffee is </w:t>
      </w:r>
      <w:r>
        <w:t>a</w:t>
      </w:r>
      <w:r w:rsidR="001F05C5">
        <w:t xml:space="preserve"> common courtesy</w:t>
      </w:r>
      <w:r>
        <w:t>, an offer of</w:t>
      </w:r>
      <w:r w:rsidR="001F05C5">
        <w:t xml:space="preserve"> a </w:t>
      </w:r>
      <w:r>
        <w:t>$100</w:t>
      </w:r>
      <w:r w:rsidR="001F05C5">
        <w:t xml:space="preserve"> </w:t>
      </w:r>
      <w:r>
        <w:t>glass of</w:t>
      </w:r>
      <w:r w:rsidR="001F05C5">
        <w:t xml:space="preserve"> wine </w:t>
      </w:r>
      <w:r>
        <w:t>is a gift offer</w:t>
      </w:r>
      <w:r w:rsidR="001F05C5">
        <w:t>)</w:t>
      </w:r>
      <w:r w:rsidR="00D84E61">
        <w:t xml:space="preserve">.  </w:t>
      </w:r>
    </w:p>
    <w:p w:rsidR="00D93C3E" w:rsidRDefault="00A90549" w:rsidP="00C2005E">
      <w:pPr>
        <w:spacing w:after="100"/>
      </w:pPr>
      <w:r>
        <w:t xml:space="preserve">The more </w:t>
      </w:r>
      <w:r w:rsidR="009D24A6">
        <w:t>valuable or</w:t>
      </w:r>
      <w:r w:rsidR="003F6F20">
        <w:t xml:space="preserve"> </w:t>
      </w:r>
      <w:r>
        <w:t>significant</w:t>
      </w:r>
      <w:r w:rsidR="009D24A6">
        <w:t xml:space="preserve"> </w:t>
      </w:r>
      <w:r w:rsidR="003F6F20">
        <w:t>a</w:t>
      </w:r>
      <w:r>
        <w:t xml:space="preserve"> gift, the less likely </w:t>
      </w:r>
      <w:r w:rsidR="003F6F20">
        <w:t xml:space="preserve">that </w:t>
      </w:r>
      <w:r>
        <w:t xml:space="preserve">it will be </w:t>
      </w:r>
      <w:r w:rsidR="003F6F20">
        <w:t>in the public interest</w:t>
      </w:r>
      <w:r>
        <w:t xml:space="preserve"> to accept or give it.  When in doubt, committee members err on the side of caution.  The local regional office of the department can be contacted for advice. </w:t>
      </w:r>
      <w:r w:rsidR="00A62968">
        <w:t xml:space="preserve"> </w:t>
      </w:r>
      <w:r w:rsidR="00D93C3E">
        <w:t xml:space="preserve">Any gift that is accepted </w:t>
      </w:r>
      <w:r w:rsidR="00C2005E">
        <w:t>or given must</w:t>
      </w:r>
      <w:r w:rsidR="00D93C3E">
        <w:t xml:space="preserve"> be recorded in the minutes of the next committee meeting.</w:t>
      </w:r>
    </w:p>
    <w:p w:rsidR="00D84E61" w:rsidRDefault="00D93C3E" w:rsidP="00A62968">
      <w:r>
        <w:t>T</w:t>
      </w:r>
      <w:r w:rsidR="00A90549">
        <w:t>he following requirements apply:</w:t>
      </w:r>
    </w:p>
    <w:p w:rsidR="00A90549" w:rsidRDefault="00A90549" w:rsidP="00A90549">
      <w:pPr>
        <w:pStyle w:val="Heading2"/>
        <w:spacing w:before="140"/>
      </w:pPr>
      <w:r>
        <w:t>When a gift offer must be refused</w:t>
      </w:r>
    </w:p>
    <w:p w:rsidR="00D84E61" w:rsidRPr="00D87849" w:rsidRDefault="00D84E61" w:rsidP="00D84E61">
      <w:r>
        <w:t>A committee member must:</w:t>
      </w:r>
    </w:p>
    <w:p w:rsidR="00D84E61" w:rsidRPr="00D87849" w:rsidRDefault="00D84E61" w:rsidP="00F83A84">
      <w:pPr>
        <w:pStyle w:val="ListBullet"/>
        <w:spacing w:after="100"/>
      </w:pPr>
      <w:r>
        <w:t>never solicit gifts</w:t>
      </w:r>
    </w:p>
    <w:p w:rsidR="00D84E61" w:rsidRDefault="00D84E61" w:rsidP="00F83A84">
      <w:pPr>
        <w:pStyle w:val="ListBullet"/>
        <w:spacing w:after="100"/>
      </w:pPr>
      <w:r>
        <w:t>always r</w:t>
      </w:r>
      <w:r w:rsidRPr="00D87849">
        <w:t xml:space="preserve">efuse and report any attempt to bribe </w:t>
      </w:r>
      <w:r>
        <w:t>them</w:t>
      </w:r>
    </w:p>
    <w:p w:rsidR="00D84E61" w:rsidRDefault="00D84E61" w:rsidP="00D84E61">
      <w:pPr>
        <w:pStyle w:val="ListBullet"/>
      </w:pPr>
      <w:r>
        <w:t xml:space="preserve">never accept any gift </w:t>
      </w:r>
      <w:r w:rsidRPr="00D87849">
        <w:t xml:space="preserve">that may cast doubt on </w:t>
      </w:r>
      <w:r>
        <w:t xml:space="preserve">their </w:t>
      </w:r>
      <w:r w:rsidRPr="00D87849">
        <w:t xml:space="preserve">integrity or impartiality or that of the </w:t>
      </w:r>
      <w:r>
        <w:t xml:space="preserve">committee. </w:t>
      </w:r>
    </w:p>
    <w:p w:rsidR="00D84E61" w:rsidRDefault="00D84E61" w:rsidP="00F83A84">
      <w:pPr>
        <w:spacing w:after="100"/>
      </w:pPr>
      <w:r>
        <w:t xml:space="preserve">Examples of gifts that </w:t>
      </w:r>
      <w:r w:rsidR="00037734">
        <w:t>must</w:t>
      </w:r>
      <w:r>
        <w:t xml:space="preserve"> never be accepted include:</w:t>
      </w:r>
    </w:p>
    <w:p w:rsidR="00D84E61" w:rsidRDefault="00D84E61" w:rsidP="00F83A84">
      <w:pPr>
        <w:pStyle w:val="ListBullet2"/>
        <w:spacing w:after="100"/>
      </w:pPr>
      <w:r>
        <w:t xml:space="preserve">gifts from </w:t>
      </w:r>
      <w:r w:rsidRPr="00D87849">
        <w:t xml:space="preserve">a donor </w:t>
      </w:r>
      <w:r>
        <w:t xml:space="preserve">who is </w:t>
      </w:r>
      <w:r w:rsidRPr="00D87849">
        <w:t xml:space="preserve">likely to be affected by a decision that </w:t>
      </w:r>
      <w:r>
        <w:t>the committee makes, now or in the future</w:t>
      </w:r>
      <w:r>
        <w:br/>
        <w:t>(</w:t>
      </w:r>
      <w:r w:rsidR="00D15CD8">
        <w:t>e.g.</w:t>
      </w:r>
      <w:r>
        <w:t xml:space="preserve"> from a person who is likely to apply for a contract or tender with the committee)</w:t>
      </w:r>
    </w:p>
    <w:p w:rsidR="00D84E61" w:rsidRDefault="00D84E61" w:rsidP="00F83A84">
      <w:pPr>
        <w:pStyle w:val="ListBullet2"/>
        <w:spacing w:after="100"/>
      </w:pPr>
      <w:r>
        <w:t>money or other items that are easily converted into money.</w:t>
      </w:r>
    </w:p>
    <w:p w:rsidR="00D84E61" w:rsidRDefault="00D84E61" w:rsidP="00D84E61">
      <w:r>
        <w:t xml:space="preserve">The </w:t>
      </w:r>
      <w:r w:rsidR="00D15CD8">
        <w:t xml:space="preserve">above </w:t>
      </w:r>
      <w:r>
        <w:t xml:space="preserve">restrictions apply </w:t>
      </w:r>
      <w:r w:rsidR="000C4DC1">
        <w:t xml:space="preserve">to </w:t>
      </w:r>
      <w:r>
        <w:t xml:space="preserve">gifts offered to a member </w:t>
      </w:r>
      <w:r w:rsidRPr="001E5244">
        <w:t>directly</w:t>
      </w:r>
      <w:r>
        <w:t xml:space="preserve"> </w:t>
      </w:r>
      <w:r w:rsidR="00A90549">
        <w:t>or</w:t>
      </w:r>
      <w:r>
        <w:t xml:space="preserve"> </w:t>
      </w:r>
      <w:r w:rsidRPr="001E5244">
        <w:t>indirectly</w:t>
      </w:r>
      <w:r w:rsidR="00633D98">
        <w:t xml:space="preserve"> (e.g. </w:t>
      </w:r>
      <w:r>
        <w:t>grand final ticket</w:t>
      </w:r>
      <w:r w:rsidR="00633D98">
        <w:t>s</w:t>
      </w:r>
      <w:r>
        <w:t xml:space="preserve"> offered to </w:t>
      </w:r>
      <w:r w:rsidR="00D15CD8">
        <w:t>a member’s</w:t>
      </w:r>
      <w:r>
        <w:t xml:space="preserve"> spouse by someone who is seeking a licence from the committee).</w:t>
      </w:r>
    </w:p>
    <w:p w:rsidR="00D84E61" w:rsidRDefault="00D84E61" w:rsidP="00A90549">
      <w:pPr>
        <w:pStyle w:val="Heading2"/>
        <w:spacing w:before="140"/>
      </w:pPr>
      <w:r>
        <w:t>Gift giving</w:t>
      </w:r>
    </w:p>
    <w:p w:rsidR="0015190A" w:rsidRDefault="00D84E61" w:rsidP="00013446">
      <w:pPr>
        <w:spacing w:after="100"/>
      </w:pPr>
      <w:r>
        <w:t xml:space="preserve">The committee </w:t>
      </w:r>
      <w:r w:rsidR="00BA25D5">
        <w:t>never</w:t>
      </w:r>
      <w:r>
        <w:t xml:space="preserve"> </w:t>
      </w:r>
      <w:r w:rsidR="00BA25D5">
        <w:t>purchases</w:t>
      </w:r>
      <w:r w:rsidR="00A360D1">
        <w:t xml:space="preserve"> a gift</w:t>
      </w:r>
      <w:r w:rsidR="00BA25D5">
        <w:t xml:space="preserve"> </w:t>
      </w:r>
      <w:r>
        <w:t xml:space="preserve">from committee funds unless </w:t>
      </w:r>
      <w:r w:rsidR="00A360D1">
        <w:t>it</w:t>
      </w:r>
      <w:r>
        <w:t xml:space="preserve"> can </w:t>
      </w:r>
      <w:r w:rsidRPr="00DE32A9">
        <w:rPr>
          <w:i/>
        </w:rPr>
        <w:t>clearly</w:t>
      </w:r>
      <w:r>
        <w:t xml:space="preserve"> be justified in the public interest</w:t>
      </w:r>
      <w:r w:rsidR="00A360D1">
        <w:t>, which is rare</w:t>
      </w:r>
      <w:r>
        <w:t xml:space="preserve">.  This applies to gifts to committee members and to non-committee members. Any such expense </w:t>
      </w:r>
      <w:r w:rsidR="001F6D36">
        <w:t>is</w:t>
      </w:r>
      <w:r>
        <w:t xml:space="preserve"> recorded in the committee’s records.</w:t>
      </w:r>
      <w:r w:rsidR="00961A68">
        <w:rPr>
          <w:rStyle w:val="FootnoteReference"/>
        </w:rPr>
        <w:footnoteReference w:id="2"/>
      </w:r>
      <w:r>
        <w:t xml:space="preserve"> </w:t>
      </w:r>
      <w:r w:rsidR="0015190A">
        <w:br w:type="page"/>
      </w:r>
    </w:p>
    <w:p w:rsidR="00D84E61" w:rsidRPr="0041194F" w:rsidRDefault="00554654" w:rsidP="00D84E61">
      <w:pPr>
        <w:pStyle w:val="Heading1"/>
      </w:pPr>
      <w:r>
        <w:lastRenderedPageBreak/>
        <w:t>5</w:t>
      </w:r>
      <w:r w:rsidR="00D84E61">
        <w:t>.</w:t>
      </w:r>
      <w:r w:rsidR="00D84E61">
        <w:tab/>
      </w:r>
      <w:r w:rsidR="00D84E61" w:rsidRPr="0041194F">
        <w:t>Collective accountabilities and responsibilities</w:t>
      </w:r>
    </w:p>
    <w:p w:rsidR="000025F2" w:rsidRDefault="000025F2" w:rsidP="000025F2">
      <w:r>
        <w:t>The overall role of the committee is to manage, improve, maintain and control the reserve for the purpose for which it is reserved</w:t>
      </w:r>
      <w:r w:rsidR="00572B6E">
        <w:t>, for the benefit of the whole community</w:t>
      </w:r>
      <w:r>
        <w:t>.  The committee:</w:t>
      </w:r>
    </w:p>
    <w:p w:rsidR="00D84E61" w:rsidRPr="00197D6B" w:rsidRDefault="00D84E61" w:rsidP="00D84E61">
      <w:pPr>
        <w:pStyle w:val="ListBullet"/>
      </w:pPr>
      <w:r w:rsidRPr="003A2A4F">
        <w:t>act</w:t>
      </w:r>
      <w:r w:rsidR="000025F2">
        <w:t>s</w:t>
      </w:r>
      <w:r w:rsidRPr="003A2A4F">
        <w:t xml:space="preserve"> in accordance with its collective accountability to the Minister</w:t>
      </w:r>
      <w:r w:rsidR="00A26DA1">
        <w:t>;</w:t>
      </w:r>
      <w:r>
        <w:rPr>
          <w:rStyle w:val="FootnoteReference"/>
        </w:rPr>
        <w:footnoteReference w:id="3"/>
      </w:r>
    </w:p>
    <w:p w:rsidR="00D84E61" w:rsidRPr="00197D6B" w:rsidRDefault="00D84E61" w:rsidP="000025F2">
      <w:pPr>
        <w:pStyle w:val="ListBullet"/>
      </w:pPr>
      <w:r w:rsidRPr="003A2A4F">
        <w:t>ensure</w:t>
      </w:r>
      <w:r w:rsidR="000025F2">
        <w:t>s</w:t>
      </w:r>
      <w:r w:rsidRPr="003A2A4F">
        <w:t xml:space="preserve"> that all </w:t>
      </w:r>
      <w:r w:rsidR="005C3CD2">
        <w:t xml:space="preserve">of </w:t>
      </w:r>
      <w:r w:rsidRPr="003A2A4F">
        <w:t>its actions and decisions are consistent with</w:t>
      </w:r>
      <w:r>
        <w:t xml:space="preserve"> its functions and powers</w:t>
      </w:r>
      <w:r w:rsidRPr="003A2A4F">
        <w:t xml:space="preserve"> </w:t>
      </w:r>
      <w:r>
        <w:t>under</w:t>
      </w:r>
      <w:r w:rsidRPr="003A2A4F">
        <w:t xml:space="preserve"> the </w:t>
      </w:r>
      <w:r w:rsidRPr="00201A07">
        <w:rPr>
          <w:i/>
        </w:rPr>
        <w:t>Crown Land (Reserves) Act</w:t>
      </w:r>
      <w:r w:rsidR="00A26DA1">
        <w:rPr>
          <w:i/>
        </w:rPr>
        <w:t>;</w:t>
      </w:r>
      <w:r>
        <w:rPr>
          <w:rStyle w:val="FootnoteReference"/>
        </w:rPr>
        <w:footnoteReference w:id="4"/>
      </w:r>
    </w:p>
    <w:p w:rsidR="00D84E61" w:rsidRPr="00197D6B" w:rsidRDefault="00D84E61" w:rsidP="00D84E61">
      <w:pPr>
        <w:pStyle w:val="ListBullet"/>
      </w:pPr>
      <w:r>
        <w:t>inform</w:t>
      </w:r>
      <w:r w:rsidR="000025F2">
        <w:t>s</w:t>
      </w:r>
      <w:r>
        <w:t xml:space="preserve"> the </w:t>
      </w:r>
      <w:r w:rsidRPr="00EF2B0B">
        <w:t>local DELWP regional office</w:t>
      </w:r>
      <w:r>
        <w:t xml:space="preserve"> of</w:t>
      </w:r>
      <w:r w:rsidRPr="003A2A4F">
        <w:t xml:space="preserve"> </w:t>
      </w:r>
      <w:r>
        <w:t>any</w:t>
      </w:r>
      <w:r w:rsidRPr="003A2A4F">
        <w:t xml:space="preserve"> known major risks (existing </w:t>
      </w:r>
      <w:r w:rsidR="007229FB">
        <w:t>or</w:t>
      </w:r>
      <w:r w:rsidRPr="003A2A4F">
        <w:t xml:space="preserve"> emerging) to the effective </w:t>
      </w:r>
      <w:r w:rsidR="000025F2">
        <w:t>management of the reserve</w:t>
      </w:r>
      <w:r w:rsidR="00A26DA1">
        <w:t>;</w:t>
      </w:r>
      <w:r>
        <w:rPr>
          <w:rStyle w:val="FootnoteReference"/>
        </w:rPr>
        <w:footnoteReference w:id="5"/>
      </w:r>
      <w:r w:rsidR="000025F2">
        <w:t xml:space="preserve"> and</w:t>
      </w:r>
    </w:p>
    <w:p w:rsidR="00D84E61" w:rsidRPr="00197D6B" w:rsidRDefault="000025F2" w:rsidP="00D84E61">
      <w:pPr>
        <w:pStyle w:val="ListBullet"/>
      </w:pPr>
      <w:r>
        <w:rPr>
          <w:rFonts w:eastAsiaTheme="majorEastAsia"/>
        </w:rPr>
        <w:t>u</w:t>
      </w:r>
      <w:r w:rsidR="00D84E61" w:rsidRPr="003A2A4F">
        <w:t>nless prohibited by law, provide</w:t>
      </w:r>
      <w:r>
        <w:t>s</w:t>
      </w:r>
      <w:r w:rsidR="00D84E61" w:rsidRPr="003A2A4F">
        <w:t xml:space="preserve"> </w:t>
      </w:r>
      <w:r w:rsidR="00065DCA">
        <w:t>the M</w:t>
      </w:r>
      <w:r w:rsidR="00065DCA" w:rsidRPr="003A2A4F">
        <w:t xml:space="preserve">inister </w:t>
      </w:r>
      <w:r w:rsidR="00065DCA">
        <w:t>and Secretary of DELWP</w:t>
      </w:r>
      <w:r w:rsidR="00065DCA" w:rsidRPr="003A2A4F">
        <w:t xml:space="preserve"> </w:t>
      </w:r>
      <w:r w:rsidR="00065DCA">
        <w:t xml:space="preserve">with </w:t>
      </w:r>
      <w:r w:rsidR="00D84E61" w:rsidRPr="003A2A4F">
        <w:t xml:space="preserve">any information relating to the </w:t>
      </w:r>
      <w:r w:rsidR="00065DCA">
        <w:t>committee and</w:t>
      </w:r>
      <w:r w:rsidR="00D84E61">
        <w:t xml:space="preserve"> its operations that </w:t>
      </w:r>
      <w:r w:rsidR="00065DCA">
        <w:t xml:space="preserve">he or she </w:t>
      </w:r>
      <w:r w:rsidR="00D84E61" w:rsidRPr="003A2A4F">
        <w:t>requests</w:t>
      </w:r>
      <w:r w:rsidR="00D84E61" w:rsidRPr="00197D6B">
        <w:t>.</w:t>
      </w:r>
      <w:r w:rsidR="00D84E61">
        <w:rPr>
          <w:rStyle w:val="FootnoteReference"/>
        </w:rPr>
        <w:footnoteReference w:id="6"/>
      </w:r>
    </w:p>
    <w:p w:rsidR="00D84E61" w:rsidRPr="0041194F" w:rsidRDefault="00554654" w:rsidP="00D84E61">
      <w:pPr>
        <w:pStyle w:val="Heading1"/>
      </w:pPr>
      <w:r>
        <w:t>6</w:t>
      </w:r>
      <w:r w:rsidR="00D84E61">
        <w:t>.</w:t>
      </w:r>
      <w:r w:rsidR="00D84E61">
        <w:tab/>
      </w:r>
      <w:r w:rsidR="00D84E61" w:rsidRPr="0041194F">
        <w:t>Public sector employment principles</w:t>
      </w:r>
    </w:p>
    <w:p w:rsidR="00D84E61" w:rsidRPr="00781A00" w:rsidRDefault="00D84E61" w:rsidP="00D84E61">
      <w:pPr>
        <w:pStyle w:val="BodyText"/>
        <w:keepNext/>
        <w:rPr>
          <w:rStyle w:val="Emphasis-Italics"/>
          <w:sz w:val="19"/>
          <w:szCs w:val="19"/>
        </w:rPr>
      </w:pPr>
      <w:r w:rsidRPr="00781A00">
        <w:rPr>
          <w:rStyle w:val="Emphasis-Italics"/>
          <w:sz w:val="19"/>
          <w:szCs w:val="19"/>
        </w:rPr>
        <w:t xml:space="preserve">[Insert the following wording if the </w:t>
      </w:r>
      <w:r>
        <w:rPr>
          <w:rStyle w:val="Emphasis-Italics"/>
          <w:sz w:val="19"/>
          <w:szCs w:val="19"/>
        </w:rPr>
        <w:t>committee</w:t>
      </w:r>
      <w:r w:rsidRPr="00781A00">
        <w:rPr>
          <w:rStyle w:val="Emphasis-Italics"/>
          <w:sz w:val="19"/>
          <w:szCs w:val="19"/>
        </w:rPr>
        <w:t xml:space="preserve"> has employees.]</w:t>
      </w:r>
    </w:p>
    <w:p w:rsidR="00D84E61" w:rsidRDefault="00D84E61" w:rsidP="00D84E61">
      <w:r>
        <w:t>The committee treat</w:t>
      </w:r>
      <w:r w:rsidR="00DE1597">
        <w:t>s</w:t>
      </w:r>
      <w:r>
        <w:t xml:space="preserve"> all staff</w:t>
      </w:r>
      <w:r w:rsidRPr="00197D6B">
        <w:t xml:space="preserve"> in</w:t>
      </w:r>
      <w:r>
        <w:t xml:space="preserve"> </w:t>
      </w:r>
      <w:r w:rsidRPr="00197D6B">
        <w:t xml:space="preserve">accordance with the </w:t>
      </w:r>
      <w:r w:rsidRPr="00781A00">
        <w:rPr>
          <w:rFonts w:eastAsiaTheme="majorEastAsia"/>
        </w:rPr>
        <w:t>public sector employment principles</w:t>
      </w:r>
      <w:r w:rsidRPr="00197D6B">
        <w:t>.</w:t>
      </w:r>
      <w:r w:rsidR="006C7DA7">
        <w:rPr>
          <w:rStyle w:val="FootnoteReference"/>
        </w:rPr>
        <w:footnoteReference w:id="7"/>
      </w:r>
      <w:r w:rsidR="006C7DA7">
        <w:t xml:space="preserve"> </w:t>
      </w:r>
      <w:r>
        <w:t xml:space="preserve"> </w:t>
      </w:r>
      <w:r w:rsidRPr="00197D6B">
        <w:t xml:space="preserve">The </w:t>
      </w:r>
      <w:r>
        <w:t>committee</w:t>
      </w:r>
      <w:r w:rsidRPr="00197D6B">
        <w:t xml:space="preserve"> also ensure</w:t>
      </w:r>
      <w:r w:rsidR="008C420B">
        <w:t>s</w:t>
      </w:r>
      <w:r w:rsidRPr="00197D6B">
        <w:t xml:space="preserve"> that </w:t>
      </w:r>
      <w:r>
        <w:t>its staff comply</w:t>
      </w:r>
      <w:r w:rsidRPr="00197D6B">
        <w:t xml:space="preserve"> with the</w:t>
      </w:r>
      <w:r>
        <w:t xml:space="preserve"> </w:t>
      </w:r>
      <w:hyperlink r:id="rId12" w:history="1">
        <w:r w:rsidRPr="00A57F40">
          <w:rPr>
            <w:rStyle w:val="Hyperlink"/>
          </w:rPr>
          <w:t>Code of Conduct for Victorian Public Sector Employees</w:t>
        </w:r>
      </w:hyperlink>
      <w:r w:rsidRPr="00197D6B">
        <w:t>.</w:t>
      </w:r>
    </w:p>
    <w:p w:rsidR="00D84E61" w:rsidRPr="00A3042C" w:rsidRDefault="00554654" w:rsidP="00D84E61">
      <w:pPr>
        <w:pStyle w:val="Heading1"/>
      </w:pPr>
      <w:r>
        <w:t>7</w:t>
      </w:r>
      <w:r w:rsidR="00D84E61" w:rsidRPr="00A3042C">
        <w:t>.</w:t>
      </w:r>
      <w:r w:rsidR="00D84E61" w:rsidRPr="00A3042C">
        <w:tab/>
      </w:r>
      <w:r w:rsidR="00DC2E68">
        <w:t>R</w:t>
      </w:r>
      <w:r w:rsidR="00D84E61" w:rsidRPr="00A3042C">
        <w:t>eview of this policy</w:t>
      </w:r>
    </w:p>
    <w:p w:rsidR="00E45654" w:rsidRPr="00A3042C" w:rsidRDefault="00E45654" w:rsidP="00E45654">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D84E61" w:rsidRPr="00A3042C" w:rsidRDefault="00496910" w:rsidP="00D84E61">
      <w:pPr>
        <w:pStyle w:val="Heading1"/>
      </w:pPr>
      <w:r>
        <w:t>8</w:t>
      </w:r>
      <w:r w:rsidR="00D84E61" w:rsidRPr="00A3042C">
        <w:t>.</w:t>
      </w:r>
      <w:r w:rsidR="00D84E61" w:rsidRPr="00A3042C">
        <w:tab/>
        <w:t>Further information</w:t>
      </w:r>
    </w:p>
    <w:p w:rsidR="00F83A84" w:rsidRDefault="00D84E61" w:rsidP="00E65D00">
      <w:r>
        <w:t xml:space="preserve">The Committees of Management support module on DELWP’s governance website, </w:t>
      </w:r>
      <w:r w:rsidRPr="00A66B72">
        <w:t>On Board</w:t>
      </w:r>
      <w:r w:rsidRPr="00A66B72">
        <w:rPr>
          <w:rStyle w:val="Emphasis-Bold"/>
          <w:rFonts w:eastAsiaTheme="majorEastAsia"/>
        </w:rPr>
        <w:t xml:space="preserve"> </w:t>
      </w:r>
      <w:r>
        <w:t>(</w:t>
      </w:r>
      <w:hyperlink r:id="rId13" w:history="1">
        <w:r w:rsidRPr="0061245E">
          <w:rPr>
            <w:rStyle w:val="Hyperlink"/>
          </w:rPr>
          <w:t>www.delwp.vic.gov.au/committees</w:t>
        </w:r>
      </w:hyperlink>
      <w:r>
        <w:t>) or contact the department’s local regional office.</w:t>
      </w:r>
      <w:r w:rsidR="00F83A84">
        <w:br w:type="page"/>
      </w:r>
    </w:p>
    <w:p w:rsidR="00D84E61" w:rsidRDefault="00D84E61" w:rsidP="00D84E61">
      <w:pPr>
        <w:pStyle w:val="Heading1"/>
        <w:spacing w:before="260"/>
      </w:pPr>
      <w:r>
        <w:t>Appendix 1: Directors’ Code of Conduct</w:t>
      </w:r>
    </w:p>
    <w:p w:rsidR="00C064D8" w:rsidRDefault="00C064D8" w:rsidP="00C064D8">
      <w:r w:rsidRPr="00C064D8">
        <w:t xml:space="preserve">The </w:t>
      </w:r>
      <w:r>
        <w:t xml:space="preserve">requirements </w:t>
      </w:r>
      <w:r w:rsidR="00FE2C1D">
        <w:t>of</w:t>
      </w:r>
      <w:r>
        <w:t xml:space="preserve"> the </w:t>
      </w:r>
      <w:hyperlink r:id="rId14" w:history="1">
        <w:r w:rsidRPr="002C71FA">
          <w:rPr>
            <w:rStyle w:val="Hyperlink"/>
          </w:rPr>
          <w:t>Directors’ Code of Conduct</w:t>
        </w:r>
      </w:hyperlink>
      <w:r>
        <w:t xml:space="preserve"> are:</w:t>
      </w:r>
    </w:p>
    <w:p w:rsidR="00D84E61" w:rsidRDefault="00D84E61" w:rsidP="00C064D8">
      <w:pPr>
        <w:pStyle w:val="ListBullet"/>
      </w:pPr>
      <w:r w:rsidRPr="00BF3B61">
        <w:rPr>
          <w:i/>
        </w:rPr>
        <w:t>Act with honesty and integrity.</w:t>
      </w:r>
      <w:r>
        <w:t xml:space="preserve"> Be open and transparent in your dealings; use power responsibly; do not place yourself in a position of conflict of interest; strive to earn and sustain public trust of a high level.</w:t>
      </w:r>
    </w:p>
    <w:p w:rsidR="00D84E61" w:rsidRDefault="00D84E61" w:rsidP="00C064D8">
      <w:pPr>
        <w:pStyle w:val="ListBullet"/>
      </w:pPr>
      <w:r w:rsidRPr="00BF3B61">
        <w:rPr>
          <w:i/>
        </w:rPr>
        <w:t>Act in good faith in the best interests of the public entity.</w:t>
      </w:r>
      <w:r>
        <w:t xml:space="preserve"> Demonstrate accountability for your actions; accept responsibility for your decisions; do not engage in activities that may bring you or the public entity into disrepute.</w:t>
      </w:r>
    </w:p>
    <w:p w:rsidR="00D84E61" w:rsidRDefault="00D84E61" w:rsidP="00C064D8">
      <w:pPr>
        <w:pStyle w:val="ListBullet"/>
      </w:pPr>
      <w:r w:rsidRPr="00BF3B61">
        <w:rPr>
          <w:i/>
        </w:rPr>
        <w:t>Act fairly and impartially.</w:t>
      </w:r>
      <w:r>
        <w:t xml:space="preserve"> Avoid bias, discrimination, caprice or self-interest; demonstrate respect for others by acting in a professional and courteous manner.</w:t>
      </w:r>
    </w:p>
    <w:p w:rsidR="00D84E61" w:rsidRDefault="00D84E61" w:rsidP="00C064D8">
      <w:pPr>
        <w:pStyle w:val="ListBullet"/>
      </w:pPr>
      <w:r w:rsidRPr="00BF3B61">
        <w:rPr>
          <w:i/>
        </w:rPr>
        <w:t>Use information appropriately.</w:t>
      </w:r>
      <w:r>
        <w:t xml:space="preserve"> Ensure information gained as a director is only applied to proper purposes and is kept confidential.</w:t>
      </w:r>
    </w:p>
    <w:p w:rsidR="00D84E61" w:rsidRDefault="00D84E61" w:rsidP="00C064D8">
      <w:pPr>
        <w:pStyle w:val="ListBullet"/>
      </w:pPr>
      <w:r w:rsidRPr="00BF3B61">
        <w:rPr>
          <w:i/>
        </w:rPr>
        <w:t>Use your position appropriately.</w:t>
      </w:r>
      <w:r>
        <w:t xml:space="preserve"> Do not use your position as a director to seek an undue advantage for yourself, family members or associates, or to cause detriment to the public entity; ensure that you decline gifts or favours that may cast doubt on your ability to apply independent judgement as a director of the public entity.</w:t>
      </w:r>
    </w:p>
    <w:p w:rsidR="00D84E61" w:rsidRDefault="00D84E61" w:rsidP="00C064D8">
      <w:pPr>
        <w:pStyle w:val="ListBullet"/>
      </w:pPr>
      <w:r w:rsidRPr="00BF3B61">
        <w:rPr>
          <w:i/>
        </w:rPr>
        <w:t>Act in a financially responsible manner.</w:t>
      </w:r>
      <w:r>
        <w:t xml:space="preserve"> Understand financial reports, audit reports and other financial material that comes before the committee; actively inquire into this material.</w:t>
      </w:r>
    </w:p>
    <w:p w:rsidR="00D84E61" w:rsidRDefault="00D84E61" w:rsidP="00C064D8">
      <w:pPr>
        <w:pStyle w:val="ListBullet"/>
      </w:pPr>
      <w:r w:rsidRPr="00BF3B61">
        <w:rPr>
          <w:i/>
        </w:rPr>
        <w:t>Exercise due care, diligence and skill.</w:t>
      </w:r>
      <w:r>
        <w:t xml:space="preserve"> Ascertain all relevant information; make reasonable enquiries; understand the financial, strategic and other implications of decisions.</w:t>
      </w:r>
    </w:p>
    <w:p w:rsidR="00D84E61" w:rsidRDefault="00D84E61" w:rsidP="00C064D8">
      <w:pPr>
        <w:pStyle w:val="ListBullet"/>
      </w:pPr>
      <w:r w:rsidRPr="00BF3B61">
        <w:rPr>
          <w:i/>
        </w:rPr>
        <w:t>Comply with the establishing legislation, or its equivalent, for your public entity.</w:t>
      </w:r>
      <w:r>
        <w:t xml:space="preserve"> Act within the powers and for the functions set out in your public entity’s establishing legislation and/or ministerial charter.</w:t>
      </w:r>
    </w:p>
    <w:p w:rsidR="00D84E61" w:rsidRPr="00EB598F" w:rsidRDefault="00D84E61" w:rsidP="00C064D8">
      <w:pPr>
        <w:pStyle w:val="ListBullet"/>
      </w:pPr>
      <w:r w:rsidRPr="00BF3B61">
        <w:rPr>
          <w:i/>
        </w:rPr>
        <w:t>Demonstrate leadership and stewardship.</w:t>
      </w:r>
      <w:r>
        <w:t xml:space="preserve"> Promote and support the application of the Victorian public sector values; act in accor</w:t>
      </w:r>
      <w:r w:rsidR="00BE3EDF">
        <w:t>dance with the Directors’ Code.</w:t>
      </w:r>
    </w:p>
    <w:p w:rsidR="00D84E61" w:rsidRPr="001F341F" w:rsidRDefault="00D84E61" w:rsidP="00D84E61">
      <w:pPr>
        <w:pStyle w:val="ListBullet"/>
        <w:numPr>
          <w:ilvl w:val="0"/>
          <w:numId w:val="0"/>
        </w:numPr>
        <w:ind w:left="360" w:hanging="360"/>
        <w:rPr>
          <w:b/>
        </w:rPr>
      </w:pPr>
    </w:p>
    <w:p w:rsidR="004E73C4" w:rsidRDefault="0072087D" w:rsidP="00D84E61">
      <w:pPr>
        <w:rPr>
          <w:rFonts w:cs="Arial"/>
          <w:b/>
          <w:bCs/>
          <w:sz w:val="15"/>
          <w:szCs w:val="15"/>
        </w:rPr>
      </w:pPr>
      <w:r w:rsidRPr="00732FB1">
        <w:rPr>
          <w:noProof/>
          <w:color w:val="228591"/>
          <w:lang w:eastAsia="en-AU"/>
        </w:rPr>
        <mc:AlternateContent>
          <mc:Choice Requires="wpc">
            <w:drawing>
              <wp:anchor distT="0" distB="0" distL="114300" distR="114300" simplePos="0" relativeHeight="251665920" behindDoc="0" locked="1" layoutInCell="1" allowOverlap="1" wp14:anchorId="2EEB7140" wp14:editId="19647E8B">
                <wp:simplePos x="0" y="0"/>
                <wp:positionH relativeFrom="page">
                  <wp:posOffset>272415</wp:posOffset>
                </wp:positionH>
                <wp:positionV relativeFrom="page">
                  <wp:posOffset>8267700</wp:posOffset>
                </wp:positionV>
                <wp:extent cx="6949440" cy="2455545"/>
                <wp:effectExtent l="0" t="0" r="0" b="0"/>
                <wp:wrapTopAndBottom/>
                <wp:docPr id="17"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7D" w:rsidRDefault="0072087D" w:rsidP="0072087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2087D" w:rsidRPr="00DC7D61" w:rsidRDefault="0072087D" w:rsidP="0072087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333F9A">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7D" w:rsidRPr="0022751F" w:rsidRDefault="0072087D" w:rsidP="0072087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8" w:history="1">
                                <w:r w:rsidRPr="00C62E6C">
                                  <w:rPr>
                                    <w:rStyle w:val="Hyperlink"/>
                                    <w:rFonts w:asciiTheme="minorHAnsi" w:hAnsiTheme="minorHAnsi"/>
                                    <w:sz w:val="15"/>
                                    <w:szCs w:val="15"/>
                                  </w:rPr>
                                  <w:t>www.delwp.vic.gov.au/committees</w:t>
                                </w:r>
                              </w:hyperlink>
                            </w:p>
                            <w:p w:rsidR="0072087D" w:rsidRPr="0022751F" w:rsidRDefault="0072087D" w:rsidP="0072087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2087D" w:rsidRPr="0022751F" w:rsidRDefault="001714E2" w:rsidP="0072087D">
                              <w:pPr>
                                <w:widowControl w:val="0"/>
                                <w:spacing w:after="100" w:line="200" w:lineRule="atLeast"/>
                                <w:rPr>
                                  <w:rFonts w:asciiTheme="minorHAnsi" w:hAnsiTheme="minorHAnsi"/>
                                  <w:sz w:val="15"/>
                                  <w:szCs w:val="15"/>
                                </w:rPr>
                              </w:pPr>
                              <w:r>
                                <w:rPr>
                                  <w:rFonts w:asciiTheme="minorHAnsi" w:hAnsiTheme="minorHAnsi"/>
                                  <w:sz w:val="15"/>
                                  <w:szCs w:val="15"/>
                                </w:rPr>
                                <w:t>1</w:t>
                              </w:r>
                              <w:r w:rsidR="000C5B26">
                                <w:rPr>
                                  <w:rFonts w:asciiTheme="minorHAnsi" w:hAnsiTheme="minorHAnsi"/>
                                  <w:sz w:val="15"/>
                                  <w:szCs w:val="15"/>
                                </w:rPr>
                                <w:t xml:space="preserve">6 </w:t>
                              </w:r>
                              <w:r>
                                <w:rPr>
                                  <w:rFonts w:asciiTheme="minorHAnsi" w:hAnsiTheme="minorHAnsi"/>
                                  <w:sz w:val="15"/>
                                  <w:szCs w:val="15"/>
                                </w:rPr>
                                <w:t>September</w:t>
                              </w:r>
                              <w:r w:rsidR="000C5B26">
                                <w:rPr>
                                  <w:rFonts w:asciiTheme="minorHAnsi" w:hAnsiTheme="minorHAnsi"/>
                                  <w:sz w:val="15"/>
                                  <w:szCs w:val="15"/>
                                </w:rPr>
                                <w:t xml:space="preserve"> </w:t>
                              </w:r>
                              <w:r w:rsidR="0072087D" w:rsidRPr="0022751F">
                                <w:rPr>
                                  <w:rFonts w:asciiTheme="minorHAnsi" w:hAnsiTheme="minorHAnsi"/>
                                  <w:sz w:val="15"/>
                                  <w:szCs w:val="15"/>
                                </w:rPr>
                                <w:t>2015 (</w:t>
                              </w:r>
                              <w:r w:rsidR="008848E9">
                                <w:rPr>
                                  <w:rStyle w:val="Emphasis-Bold"/>
                                  <w:rFonts w:asciiTheme="minorHAnsi" w:hAnsiTheme="minorHAnsi"/>
                                  <w:sz w:val="15"/>
                                  <w:szCs w:val="15"/>
                                </w:rPr>
                                <w:t>version 1.01</w:t>
                              </w:r>
                              <w:r w:rsidR="0072087D" w:rsidRPr="0022751F">
                                <w:rPr>
                                  <w:rFonts w:asciiTheme="minorHAnsi" w:hAnsiTheme="minorHAnsi"/>
                                  <w:sz w:val="15"/>
                                  <w:szCs w:val="15"/>
                                </w:rPr>
                                <w:t xml:space="preserve">) </w:t>
                              </w:r>
                              <w:r w:rsidR="00071156">
                                <w:rPr>
                                  <w:rFonts w:asciiTheme="minorHAnsi" w:hAnsiTheme="minorHAnsi"/>
                                  <w:sz w:val="15"/>
                                  <w:szCs w:val="15"/>
                                </w:rPr>
                                <w:t xml:space="preserve">– </w:t>
                              </w:r>
                              <w:r w:rsidR="00226F81">
                                <w:rPr>
                                  <w:rFonts w:asciiTheme="minorHAnsi" w:hAnsiTheme="minorHAnsi"/>
                                  <w:sz w:val="15"/>
                                  <w:szCs w:val="15"/>
                                </w:rPr>
                                <w:t>56.00</w:t>
                              </w:r>
                            </w:p>
                            <w:p w:rsidR="0072087D" w:rsidRDefault="0072087D" w:rsidP="0072087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2087D" w:rsidRPr="0022751F" w:rsidRDefault="0072087D" w:rsidP="0072087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2087D" w:rsidRPr="002072AB" w:rsidRDefault="0072087D" w:rsidP="0072087D">
                              <w:pPr>
                                <w:pStyle w:val="Disclaimer"/>
                                <w:rPr>
                                  <w:rFonts w:asciiTheme="minorHAnsi" w:hAnsiTheme="minorHAnsi"/>
                                  <w:szCs w:val="15"/>
                                </w:rPr>
                              </w:pPr>
                              <w:r w:rsidRPr="002072AB">
                                <w:rPr>
                                  <w:noProof/>
                                  <w:szCs w:val="15"/>
                                </w:rPr>
                                <w:drawing>
                                  <wp:inline distT="0" distB="0" distL="0" distR="0" wp14:anchorId="1C0D426C" wp14:editId="43B9D7C4">
                                    <wp:extent cx="297418" cy="104094"/>
                                    <wp:effectExtent l="0" t="0" r="7620" b="0"/>
                                    <wp:docPr id="18" name="Picture 1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15" name="Line 7"/>
                        <wps:cNvCnPr/>
                        <wps:spPr bwMode="auto">
                          <a:xfrm>
                            <a:off x="0"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6" name="Text Box 16"/>
                        <wps:cNvSpPr txBox="1"/>
                        <wps:spPr>
                          <a:xfrm>
                            <a:off x="1755724" y="157439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87D" w:rsidRPr="00BA342A" w:rsidRDefault="0072087D" w:rsidP="0072087D">
                              <w:pPr>
                                <w:rPr>
                                  <w:rFonts w:asciiTheme="minorHAnsi" w:hAnsiTheme="minorHAnsi"/>
                                  <w:color w:val="228591"/>
                                  <w:szCs w:val="21"/>
                                </w:rPr>
                              </w:pPr>
                              <w:r w:rsidRPr="00BA342A">
                                <w:rPr>
                                  <w:rStyle w:val="WebChar"/>
                                  <w:rFonts w:asciiTheme="minorHAnsi" w:hAnsiTheme="minorHAnsi"/>
                                  <w:color w:val="228591"/>
                                  <w:sz w:val="21"/>
                                  <w:szCs w:val="21"/>
                                </w:rPr>
                                <w:t>www.delwp.vic.gov.au/</w:t>
                              </w:r>
                              <w:r>
                                <w:rPr>
                                  <w:rStyle w:val="WebChar"/>
                                  <w:rFonts w:asciiTheme="minorHAnsi" w:hAnsiTheme="minorHAnsi"/>
                                  <w:color w:val="228591"/>
                                  <w:sz w:val="21"/>
                                  <w:szCs w:val="21"/>
                                </w:rPr>
                                <w:t>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1.45pt;margin-top:651pt;width:547.2pt;height:193.35pt;z-index:251665920;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2087D" w:rsidRDefault="0072087D" w:rsidP="0072087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2087D" w:rsidRPr="00DC7D61" w:rsidRDefault="0072087D" w:rsidP="0072087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333F9A">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2087D" w:rsidRPr="0022751F" w:rsidRDefault="0072087D" w:rsidP="0072087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4" w:history="1">
                          <w:r w:rsidRPr="00C62E6C">
                            <w:rPr>
                              <w:rStyle w:val="Hyperlink"/>
                              <w:rFonts w:asciiTheme="minorHAnsi" w:hAnsiTheme="minorHAnsi"/>
                              <w:sz w:val="15"/>
                              <w:szCs w:val="15"/>
                            </w:rPr>
                            <w:t>www.delwp.vic.gov.au/committees</w:t>
                          </w:r>
                        </w:hyperlink>
                      </w:p>
                      <w:p w:rsidR="0072087D" w:rsidRPr="0022751F" w:rsidRDefault="0072087D" w:rsidP="0072087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2087D" w:rsidRPr="0022751F" w:rsidRDefault="001714E2" w:rsidP="0072087D">
                        <w:pPr>
                          <w:widowControl w:val="0"/>
                          <w:spacing w:after="100" w:line="200" w:lineRule="atLeast"/>
                          <w:rPr>
                            <w:rFonts w:asciiTheme="minorHAnsi" w:hAnsiTheme="minorHAnsi"/>
                            <w:sz w:val="15"/>
                            <w:szCs w:val="15"/>
                          </w:rPr>
                        </w:pPr>
                        <w:r>
                          <w:rPr>
                            <w:rFonts w:asciiTheme="minorHAnsi" w:hAnsiTheme="minorHAnsi"/>
                            <w:sz w:val="15"/>
                            <w:szCs w:val="15"/>
                          </w:rPr>
                          <w:t>1</w:t>
                        </w:r>
                        <w:r w:rsidR="000C5B26">
                          <w:rPr>
                            <w:rFonts w:asciiTheme="minorHAnsi" w:hAnsiTheme="minorHAnsi"/>
                            <w:sz w:val="15"/>
                            <w:szCs w:val="15"/>
                          </w:rPr>
                          <w:t xml:space="preserve">6 </w:t>
                        </w:r>
                        <w:r>
                          <w:rPr>
                            <w:rFonts w:asciiTheme="minorHAnsi" w:hAnsiTheme="minorHAnsi"/>
                            <w:sz w:val="15"/>
                            <w:szCs w:val="15"/>
                          </w:rPr>
                          <w:t>September</w:t>
                        </w:r>
                        <w:r w:rsidR="000C5B26">
                          <w:rPr>
                            <w:rFonts w:asciiTheme="minorHAnsi" w:hAnsiTheme="minorHAnsi"/>
                            <w:sz w:val="15"/>
                            <w:szCs w:val="15"/>
                          </w:rPr>
                          <w:t xml:space="preserve"> </w:t>
                        </w:r>
                        <w:r w:rsidR="0072087D" w:rsidRPr="0022751F">
                          <w:rPr>
                            <w:rFonts w:asciiTheme="minorHAnsi" w:hAnsiTheme="minorHAnsi"/>
                            <w:sz w:val="15"/>
                            <w:szCs w:val="15"/>
                          </w:rPr>
                          <w:t>2015 (</w:t>
                        </w:r>
                        <w:r w:rsidR="008848E9">
                          <w:rPr>
                            <w:rStyle w:val="Emphasis-Bold"/>
                            <w:rFonts w:asciiTheme="minorHAnsi" w:hAnsiTheme="minorHAnsi"/>
                            <w:sz w:val="15"/>
                            <w:szCs w:val="15"/>
                          </w:rPr>
                          <w:t>version 1.01</w:t>
                        </w:r>
                        <w:r w:rsidR="0072087D" w:rsidRPr="0022751F">
                          <w:rPr>
                            <w:rFonts w:asciiTheme="minorHAnsi" w:hAnsiTheme="minorHAnsi"/>
                            <w:sz w:val="15"/>
                            <w:szCs w:val="15"/>
                          </w:rPr>
                          <w:t xml:space="preserve">) </w:t>
                        </w:r>
                        <w:r w:rsidR="00071156">
                          <w:rPr>
                            <w:rFonts w:asciiTheme="minorHAnsi" w:hAnsiTheme="minorHAnsi"/>
                            <w:sz w:val="15"/>
                            <w:szCs w:val="15"/>
                          </w:rPr>
                          <w:t xml:space="preserve">– </w:t>
                        </w:r>
                        <w:r w:rsidR="00226F81">
                          <w:rPr>
                            <w:rFonts w:asciiTheme="minorHAnsi" w:hAnsiTheme="minorHAnsi"/>
                            <w:sz w:val="15"/>
                            <w:szCs w:val="15"/>
                          </w:rPr>
                          <w:t>56.00</w:t>
                        </w:r>
                      </w:p>
                      <w:p w:rsidR="0072087D" w:rsidRDefault="0072087D" w:rsidP="0072087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2087D" w:rsidRPr="0022751F" w:rsidRDefault="0072087D" w:rsidP="0072087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2087D" w:rsidRPr="002072AB" w:rsidRDefault="0072087D" w:rsidP="0072087D">
                        <w:pPr>
                          <w:pStyle w:val="Disclaimer"/>
                          <w:rPr>
                            <w:rFonts w:asciiTheme="minorHAnsi" w:hAnsiTheme="minorHAnsi"/>
                            <w:szCs w:val="15"/>
                          </w:rPr>
                        </w:pPr>
                        <w:r w:rsidRPr="002072AB">
                          <w:rPr>
                            <w:noProof/>
                            <w:szCs w:val="15"/>
                          </w:rPr>
                          <w:drawing>
                            <wp:inline distT="0" distB="0" distL="0" distR="0" wp14:anchorId="1C0D426C" wp14:editId="43B9D7C4">
                              <wp:extent cx="297418" cy="104094"/>
                              <wp:effectExtent l="0" t="0" r="7620" b="0"/>
                              <wp:docPr id="18" name="Picture 1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0,338" to="6686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MbBr8AAADbAAAADwAAAGRycy9kb3ducmV2LnhtbESPzQrCMBCE74LvEFbwZlMFq1SjiCB4&#10;EfwpeF2atS02m9JErW9vBMHbLjM73+xy3ZlaPKl1lWUF4ygGQZxbXXGhILvsRnMQziNrrC2Tgjc5&#10;WK/6vSWm2r74RM+zL0QIYZeigtL7JpXS5SUZdJFtiIN2s61BH9a2kLrFVwg3tZzEcSINVhwIJTa0&#10;LSm/nx8mQA4+2+NkhsexO9RXzpLLbpYoNRx0mwUIT53/m3/Xex3qT+H7Sxh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7MbBr8AAADbAAAADwAAAAAAAAAAAAAAAACh&#10;AgAAZHJzL2Rvd25yZXYueG1sUEsFBgAAAAAEAAQA+QAAAI0DAAAAAA==&#10;" strokecolor="#40a7c2 [3048]"/>
                <v:shape id="Text Box 16" o:spid="_x0000_s1032" type="#_x0000_t202" style="position:absolute;left:17557;top:1574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72087D" w:rsidRPr="00BA342A" w:rsidRDefault="0072087D" w:rsidP="0072087D">
                        <w:pPr>
                          <w:rPr>
                            <w:rFonts w:asciiTheme="minorHAnsi" w:hAnsiTheme="minorHAnsi"/>
                            <w:color w:val="228591"/>
                            <w:szCs w:val="21"/>
                          </w:rPr>
                        </w:pPr>
                        <w:r w:rsidRPr="00BA342A">
                          <w:rPr>
                            <w:rStyle w:val="WebChar"/>
                            <w:rFonts w:asciiTheme="minorHAnsi" w:hAnsiTheme="minorHAnsi"/>
                            <w:color w:val="228591"/>
                            <w:sz w:val="21"/>
                            <w:szCs w:val="21"/>
                          </w:rPr>
                          <w:t>www.delwp.vic.gov.au/</w:t>
                        </w:r>
                        <w:r>
                          <w:rPr>
                            <w:rStyle w:val="WebChar"/>
                            <w:rFonts w:asciiTheme="minorHAnsi" w:hAnsiTheme="minorHAnsi"/>
                            <w:color w:val="228591"/>
                            <w:sz w:val="21"/>
                            <w:szCs w:val="21"/>
                          </w:rPr>
                          <w:t>committees</w:t>
                        </w:r>
                      </w:p>
                    </w:txbxContent>
                  </v:textbox>
                </v:shape>
                <w10:wrap type="topAndBottom" anchorx="page" anchory="page"/>
                <w10:anchorlock/>
              </v:group>
            </w:pict>
          </mc:Fallback>
        </mc:AlternateContent>
      </w:r>
    </w:p>
    <w:p w:rsidR="00F54B9E" w:rsidRPr="00FC4E61" w:rsidRDefault="00F54B9E" w:rsidP="00A61E04">
      <w:pPr>
        <w:rPr>
          <w:rFonts w:eastAsia="Calibri"/>
        </w:rPr>
      </w:pPr>
    </w:p>
    <w:sectPr w:rsidR="00F54B9E" w:rsidRPr="00FC4E61" w:rsidSect="00D84E61">
      <w:headerReference w:type="even" r:id="rId26"/>
      <w:headerReference w:type="default" r:id="rId27"/>
      <w:footerReference w:type="even" r:id="rId28"/>
      <w:footerReference w:type="default" r:id="rId29"/>
      <w:headerReference w:type="first" r:id="rId30"/>
      <w:footerReference w:type="first" r:id="rId31"/>
      <w:pgSz w:w="11907" w:h="16840" w:code="9"/>
      <w:pgMar w:top="2268" w:right="567" w:bottom="851" w:left="1134" w:header="284" w:footer="1021"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81" w:rsidRDefault="0022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F63568" w:rsidP="000F55F1">
    <w:pPr>
      <w:pStyle w:val="ImprintText"/>
      <w:spacing w:before="300" w:after="0"/>
    </w:pPr>
    <w:r>
      <w:rPr>
        <w:noProof/>
        <w:lang w:eastAsia="en-AU"/>
      </w:rPr>
      <w:drawing>
        <wp:anchor distT="0" distB="0" distL="114300" distR="114300" simplePos="0" relativeHeight="251665408" behindDoc="0" locked="0" layoutInCell="1" allowOverlap="1" wp14:anchorId="67B01D12" wp14:editId="6A582962">
          <wp:simplePos x="0" y="0"/>
          <wp:positionH relativeFrom="column">
            <wp:posOffset>5271135</wp:posOffset>
          </wp:positionH>
          <wp:positionV relativeFrom="paragraph">
            <wp:posOffset>108585</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62245521"/>
        <w:docPartObj>
          <w:docPartGallery w:val="Page Numbers (Top of Page)"/>
          <w:docPartUnique/>
        </w:docPartObj>
      </w:sdtPr>
      <w:sdtEndPr/>
      <w:sdtContent>
        <w:sdt>
          <w:sdtPr>
            <w:rPr>
              <w:szCs w:val="16"/>
            </w:rPr>
            <w:id w:val="2085018828"/>
            <w:docPartObj>
              <w:docPartGallery w:val="Page Numbers (Top of Page)"/>
              <w:docPartUnique/>
            </w:docPartObj>
          </w:sdtPr>
          <w:sdtEndPr/>
          <w:sdtContent>
            <w:r w:rsidR="00A97C73">
              <w:rPr>
                <w:szCs w:val="16"/>
              </w:rPr>
              <w:t xml:space="preserve">Page </w:t>
            </w:r>
            <w:r w:rsidR="00A97C73">
              <w:rPr>
                <w:szCs w:val="16"/>
              </w:rPr>
              <w:fldChar w:fldCharType="begin"/>
            </w:r>
            <w:r w:rsidR="00A97C73">
              <w:rPr>
                <w:szCs w:val="16"/>
              </w:rPr>
              <w:instrText xml:space="preserve"> PAGE  \* Arabic </w:instrText>
            </w:r>
            <w:r w:rsidR="00A97C73">
              <w:rPr>
                <w:szCs w:val="16"/>
              </w:rPr>
              <w:fldChar w:fldCharType="separate"/>
            </w:r>
            <w:r w:rsidR="00691F3B">
              <w:rPr>
                <w:noProof/>
                <w:szCs w:val="16"/>
              </w:rPr>
              <w:t>4</w:t>
            </w:r>
            <w:r w:rsidR="00A97C73">
              <w:rPr>
                <w:szCs w:val="16"/>
              </w:rPr>
              <w:fldChar w:fldCharType="end"/>
            </w:r>
            <w:r w:rsidR="00A97C73">
              <w:rPr>
                <w:szCs w:val="16"/>
              </w:rPr>
              <w:t xml:space="preserve"> of </w:t>
            </w:r>
            <w:r w:rsidR="00A97C73">
              <w:rPr>
                <w:szCs w:val="16"/>
              </w:rPr>
              <w:fldChar w:fldCharType="begin"/>
            </w:r>
            <w:r w:rsidR="00A97C73">
              <w:rPr>
                <w:szCs w:val="16"/>
              </w:rPr>
              <w:instrText xml:space="preserve"> NUMPAGES  </w:instrText>
            </w:r>
            <w:r w:rsidR="00A97C73">
              <w:rPr>
                <w:szCs w:val="16"/>
              </w:rPr>
              <w:fldChar w:fldCharType="separate"/>
            </w:r>
            <w:r w:rsidR="00691F3B">
              <w:rPr>
                <w:noProof/>
                <w:szCs w:val="16"/>
              </w:rPr>
              <w:t>4</w:t>
            </w:r>
            <w:r w:rsidR="00A97C73">
              <w:rPr>
                <w:noProof/>
                <w:szCs w:val="16"/>
              </w:rPr>
              <w:fldChar w:fldCharType="end"/>
            </w:r>
          </w:sdtContent>
        </w:sdt>
        <w:r w:rsidR="00A97C73">
          <w:rPr>
            <w:szCs w:val="16"/>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F63568" w:rsidP="0019220C">
    <w:pPr>
      <w:pStyle w:val="ImprintText"/>
      <w:tabs>
        <w:tab w:val="left" w:pos="2268"/>
      </w:tabs>
      <w:spacing w:before="300" w:after="0" w:line="240" w:lineRule="auto"/>
      <w:rPr>
        <w:sz w:val="22"/>
        <w:szCs w:val="22"/>
      </w:rPr>
    </w:pPr>
    <w:r>
      <w:rPr>
        <w:noProof/>
        <w:lang w:eastAsia="en-AU"/>
      </w:rPr>
      <w:drawing>
        <wp:anchor distT="0" distB="0" distL="114300" distR="114300" simplePos="0" relativeHeight="251663360" behindDoc="0" locked="0" layoutInCell="1" allowOverlap="1" wp14:anchorId="0234F744" wp14:editId="44FE9D15">
          <wp:simplePos x="0" y="0"/>
          <wp:positionH relativeFrom="column">
            <wp:posOffset>5067935</wp:posOffset>
          </wp:positionH>
          <wp:positionV relativeFrom="paragraph">
            <wp:posOffset>185420</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2128772376"/>
        <w:docPartObj>
          <w:docPartGallery w:val="Page Numbers (Top of Page)"/>
          <w:docPartUnique/>
        </w:docPartObj>
      </w:sdtPr>
      <w:sdtEndPr/>
      <w:sdtContent>
        <w:sdt>
          <w:sdtPr>
            <w:rPr>
              <w:szCs w:val="16"/>
            </w:rPr>
            <w:id w:val="640624567"/>
            <w:docPartObj>
              <w:docPartGallery w:val="Page Numbers (Top of Page)"/>
              <w:docPartUnique/>
            </w:docPartObj>
          </w:sdtPr>
          <w:sdtEndPr/>
          <w:sdtContent>
            <w:r w:rsidR="002E681F">
              <w:rPr>
                <w:szCs w:val="16"/>
              </w:rPr>
              <w:t xml:space="preserve">Page </w:t>
            </w:r>
            <w:r w:rsidR="002E681F">
              <w:rPr>
                <w:szCs w:val="16"/>
              </w:rPr>
              <w:fldChar w:fldCharType="begin"/>
            </w:r>
            <w:r w:rsidR="002E681F">
              <w:rPr>
                <w:szCs w:val="16"/>
              </w:rPr>
              <w:instrText xml:space="preserve"> PAGE  \* Arabic </w:instrText>
            </w:r>
            <w:r w:rsidR="002E681F">
              <w:rPr>
                <w:szCs w:val="16"/>
              </w:rPr>
              <w:fldChar w:fldCharType="separate"/>
            </w:r>
            <w:r w:rsidR="00691F3B">
              <w:rPr>
                <w:noProof/>
                <w:szCs w:val="16"/>
              </w:rPr>
              <w:t>1</w:t>
            </w:r>
            <w:r w:rsidR="002E681F">
              <w:rPr>
                <w:szCs w:val="16"/>
              </w:rPr>
              <w:fldChar w:fldCharType="end"/>
            </w:r>
            <w:r w:rsidR="002E681F">
              <w:rPr>
                <w:szCs w:val="16"/>
              </w:rPr>
              <w:t xml:space="preserve"> of </w:t>
            </w:r>
            <w:r w:rsidR="002E681F">
              <w:rPr>
                <w:szCs w:val="16"/>
              </w:rPr>
              <w:fldChar w:fldCharType="begin"/>
            </w:r>
            <w:r w:rsidR="002E681F">
              <w:rPr>
                <w:szCs w:val="16"/>
              </w:rPr>
              <w:instrText xml:space="preserve"> NUMPAGES  </w:instrText>
            </w:r>
            <w:r w:rsidR="002E681F">
              <w:rPr>
                <w:szCs w:val="16"/>
              </w:rPr>
              <w:fldChar w:fldCharType="separate"/>
            </w:r>
            <w:r w:rsidR="00691F3B">
              <w:rPr>
                <w:noProof/>
                <w:szCs w:val="16"/>
              </w:rPr>
              <w:t>4</w:t>
            </w:r>
            <w:r w:rsidR="002E681F">
              <w:rPr>
                <w:noProof/>
                <w:szCs w:val="16"/>
              </w:rPr>
              <w:fldChar w:fldCharType="end"/>
            </w:r>
          </w:sdtContent>
        </w:sdt>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A450AC">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D84E61" w:rsidRDefault="00D84E61" w:rsidP="00C2005E">
      <w:pPr>
        <w:pStyle w:val="FootnoteText"/>
        <w:spacing w:after="0"/>
      </w:pPr>
      <w:r>
        <w:rPr>
          <w:rStyle w:val="FootnoteReference"/>
        </w:rPr>
        <w:footnoteRef/>
      </w:r>
      <w:r>
        <w:t xml:space="preserve"> </w:t>
      </w:r>
      <w:r>
        <w:tab/>
        <w:t xml:space="preserve">If standing for election, see DELWP’s guidance note on this topic in the </w:t>
      </w:r>
      <w:hyperlink r:id="rId1" w:history="1">
        <w:r w:rsidRPr="009C28E7">
          <w:rPr>
            <w:rStyle w:val="Hyperlink"/>
          </w:rPr>
          <w:t>Public Administration Act</w:t>
        </w:r>
      </w:hyperlink>
      <w:r w:rsidRPr="009C28E7">
        <w:t xml:space="preserve"> </w:t>
      </w:r>
      <w:r>
        <w:t xml:space="preserve">support module on </w:t>
      </w:r>
      <w:proofErr w:type="spellStart"/>
      <w:r>
        <w:t>On</w:t>
      </w:r>
      <w:proofErr w:type="spellEnd"/>
      <w:r>
        <w:t xml:space="preserve"> Board.</w:t>
      </w:r>
    </w:p>
  </w:footnote>
  <w:footnote w:id="2">
    <w:p w:rsidR="00961A68" w:rsidRDefault="00961A68" w:rsidP="000E787C">
      <w:pPr>
        <w:pStyle w:val="FootnoteText"/>
        <w:spacing w:before="60"/>
      </w:pPr>
      <w:r>
        <w:rPr>
          <w:rStyle w:val="FootnoteReference"/>
        </w:rPr>
        <w:footnoteRef/>
      </w:r>
      <w:r>
        <w:t xml:space="preserve"> </w:t>
      </w:r>
      <w:r>
        <w:tab/>
        <w:t xml:space="preserve">In accordance with s 15(8) of the </w:t>
      </w:r>
      <w:r w:rsidRPr="00DE32A9">
        <w:rPr>
          <w:i/>
        </w:rPr>
        <w:t>Crown Land (Reserves) Act</w:t>
      </w:r>
      <w:r>
        <w:rPr>
          <w:i/>
        </w:rPr>
        <w:t>.</w:t>
      </w:r>
    </w:p>
  </w:footnote>
  <w:footnote w:id="3">
    <w:p w:rsidR="00D84E61" w:rsidRDefault="00D84E61" w:rsidP="00D84E61">
      <w:pPr>
        <w:pStyle w:val="FootnoteText"/>
        <w:spacing w:before="40" w:after="60" w:line="276" w:lineRule="auto"/>
      </w:pPr>
      <w:r>
        <w:rPr>
          <w:rStyle w:val="FootnoteReference"/>
        </w:rPr>
        <w:footnoteRef/>
      </w:r>
      <w:r>
        <w:t xml:space="preserve"> </w:t>
      </w:r>
      <w:r>
        <w:tab/>
      </w:r>
      <w:r w:rsidRPr="00197D6B">
        <w:t>Consistent with section 85(1) of the PAA.</w:t>
      </w:r>
    </w:p>
  </w:footnote>
  <w:footnote w:id="4">
    <w:p w:rsidR="00D84E61" w:rsidRDefault="00D84E61" w:rsidP="00D84E61">
      <w:pPr>
        <w:pStyle w:val="FootnoteText"/>
        <w:spacing w:before="40" w:after="60" w:line="276" w:lineRule="auto"/>
      </w:pPr>
      <w:r>
        <w:rPr>
          <w:rStyle w:val="FootnoteReference"/>
        </w:rPr>
        <w:footnoteRef/>
      </w:r>
      <w:r>
        <w:t xml:space="preserve"> </w:t>
      </w:r>
      <w:r>
        <w:tab/>
      </w:r>
      <w:r w:rsidRPr="00197D6B">
        <w:t>Consistent with section 81(1)(a) of the PAA.</w:t>
      </w:r>
    </w:p>
  </w:footnote>
  <w:footnote w:id="5">
    <w:p w:rsidR="00D84E61" w:rsidRDefault="00D84E61" w:rsidP="00D84E61">
      <w:pPr>
        <w:pStyle w:val="FootnoteText"/>
        <w:spacing w:before="20" w:after="60" w:line="276" w:lineRule="auto"/>
      </w:pPr>
      <w:r>
        <w:rPr>
          <w:rStyle w:val="FootnoteReference"/>
        </w:rPr>
        <w:footnoteRef/>
      </w:r>
      <w:r>
        <w:t xml:space="preserve"> </w:t>
      </w:r>
      <w:r>
        <w:tab/>
      </w:r>
      <w:r w:rsidRPr="00197D6B">
        <w:t>Consistent with section 81(1)(b) of the PAA.</w:t>
      </w:r>
    </w:p>
  </w:footnote>
  <w:footnote w:id="6">
    <w:p w:rsidR="00D84E61" w:rsidRDefault="00D84E61" w:rsidP="00D84E61">
      <w:pPr>
        <w:pStyle w:val="FootnoteText"/>
        <w:spacing w:before="20" w:after="20" w:line="276" w:lineRule="auto"/>
      </w:pPr>
      <w:r>
        <w:rPr>
          <w:rStyle w:val="FootnoteReference"/>
        </w:rPr>
        <w:footnoteRef/>
      </w:r>
      <w:r>
        <w:t xml:space="preserve"> </w:t>
      </w:r>
      <w:r>
        <w:tab/>
      </w:r>
      <w:r w:rsidRPr="00197D6B">
        <w:t>Consistent with section</w:t>
      </w:r>
      <w:r>
        <w:t>s 13A and</w:t>
      </w:r>
      <w:r w:rsidRPr="00197D6B">
        <w:t xml:space="preserve"> 81(1)(c) of the PAA.</w:t>
      </w:r>
    </w:p>
  </w:footnote>
  <w:footnote w:id="7">
    <w:p w:rsidR="006C7DA7" w:rsidRDefault="006C7DA7" w:rsidP="006C7DA7">
      <w:pPr>
        <w:tabs>
          <w:tab w:val="left" w:pos="284"/>
        </w:tabs>
        <w:spacing w:after="40"/>
      </w:pPr>
      <w:r>
        <w:rPr>
          <w:rStyle w:val="FootnoteReference"/>
        </w:rPr>
        <w:footnoteRef/>
      </w:r>
      <w:r>
        <w:t xml:space="preserve"> </w:t>
      </w:r>
      <w:r>
        <w:tab/>
      </w:r>
      <w:r w:rsidRPr="00314BD0">
        <w:rPr>
          <w:sz w:val="18"/>
          <w:szCs w:val="20"/>
        </w:rPr>
        <w:t xml:space="preserve">The applicable principles </w:t>
      </w:r>
      <w:r w:rsidR="00B246AC">
        <w:rPr>
          <w:sz w:val="18"/>
          <w:szCs w:val="20"/>
        </w:rPr>
        <w:t xml:space="preserve">in section 8 of the PAA </w:t>
      </w:r>
      <w:r w:rsidRPr="00314BD0">
        <w:rPr>
          <w:sz w:val="18"/>
          <w:szCs w:val="20"/>
        </w:rPr>
        <w:t>are:</w:t>
      </w:r>
      <w:r>
        <w:t xml:space="preserve"> </w:t>
      </w:r>
    </w:p>
    <w:p w:rsidR="006C7DA7" w:rsidRDefault="006C7DA7" w:rsidP="006C7DA7">
      <w:pPr>
        <w:pStyle w:val="FootnoteText"/>
        <w:spacing w:before="20" w:after="20" w:line="276" w:lineRule="auto"/>
        <w:ind w:firstLine="0"/>
      </w:pPr>
      <w:r w:rsidRPr="00197D6B">
        <w:t>(</w:t>
      </w:r>
      <w:r>
        <w:t>a)</w:t>
      </w:r>
      <w:r>
        <w:tab/>
      </w:r>
      <w:r w:rsidRPr="00197D6B">
        <w:t>employment decisions must be based on merit;</w:t>
      </w:r>
      <w:r>
        <w:t xml:space="preserve"> </w:t>
      </w:r>
    </w:p>
    <w:p w:rsidR="006C7DA7" w:rsidRPr="00197D6B" w:rsidRDefault="006C7DA7" w:rsidP="006C7DA7">
      <w:pPr>
        <w:pStyle w:val="FootnoteText"/>
        <w:spacing w:before="20" w:after="20" w:line="276" w:lineRule="auto"/>
        <w:ind w:firstLine="0"/>
      </w:pPr>
      <w:r>
        <w:t>(b)</w:t>
      </w:r>
      <w:r>
        <w:tab/>
      </w:r>
      <w:r w:rsidRPr="00197D6B">
        <w:t>employees must be treated fairly and reasonably;</w:t>
      </w:r>
    </w:p>
    <w:p w:rsidR="006C7DA7" w:rsidRPr="00197D6B" w:rsidRDefault="006C7DA7" w:rsidP="006C7DA7">
      <w:pPr>
        <w:pStyle w:val="FootnoteText"/>
        <w:spacing w:before="20" w:after="20" w:line="276" w:lineRule="auto"/>
        <w:ind w:firstLine="0"/>
      </w:pPr>
      <w:r>
        <w:t>(c)</w:t>
      </w:r>
      <w:r>
        <w:tab/>
      </w:r>
      <w:r w:rsidRPr="00197D6B">
        <w:t>there must be equal opportunity employment;</w:t>
      </w:r>
    </w:p>
    <w:p w:rsidR="006C7DA7" w:rsidRPr="00197D6B" w:rsidRDefault="006C7DA7" w:rsidP="006C7DA7">
      <w:pPr>
        <w:pStyle w:val="FootnoteText"/>
        <w:spacing w:before="20" w:after="20" w:line="276" w:lineRule="auto"/>
        <w:ind w:firstLine="0"/>
      </w:pPr>
      <w:r>
        <w:t>(ca)</w:t>
      </w:r>
      <w:r>
        <w:tab/>
      </w:r>
      <w:r w:rsidRPr="00197D6B">
        <w:t>Victoria’s Charter of Human Rights and Responsibilities</w:t>
      </w:r>
      <w:r>
        <w:t xml:space="preserve"> </w:t>
      </w:r>
      <w:r w:rsidRPr="00197D6B">
        <w:t>must be upheld; and</w:t>
      </w:r>
    </w:p>
    <w:p w:rsidR="006C7DA7" w:rsidRDefault="006C7DA7" w:rsidP="006C7DA7">
      <w:pPr>
        <w:pStyle w:val="FootnoteText"/>
        <w:spacing w:before="20" w:after="20" w:line="276" w:lineRule="auto"/>
        <w:ind w:firstLine="0"/>
      </w:pPr>
      <w:r>
        <w:t>(d)</w:t>
      </w:r>
      <w:r>
        <w:tab/>
      </w:r>
      <w:r w:rsidRPr="00197D6B">
        <w:t>employees must have a reasonable avenue of redress</w:t>
      </w:r>
      <w:r>
        <w:t xml:space="preserve"> </w:t>
      </w:r>
      <w:r w:rsidRPr="00197D6B">
        <w:t>against unfair or unreasonable treatment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81" w:rsidRDefault="0022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234"/>
    </w:tblGrid>
    <w:tr w:rsidR="00B47165" w:rsidRPr="00F83A6F" w:rsidTr="00D31CD9">
      <w:trPr>
        <w:trHeight w:val="1360"/>
      </w:trPr>
      <w:tc>
        <w:tcPr>
          <w:tcW w:w="10234"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34E95388" wp14:editId="7636476B">
                <wp:simplePos x="0" y="0"/>
                <wp:positionH relativeFrom="column">
                  <wp:posOffset>-382270</wp:posOffset>
                </wp:positionH>
                <wp:positionV relativeFrom="paragraph">
                  <wp:posOffset>151130</wp:posOffset>
                </wp:positionV>
                <wp:extent cx="6868160" cy="815340"/>
                <wp:effectExtent l="0" t="0" r="8890" b="3810"/>
                <wp:wrapNone/>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62711A" w:rsidP="00C872AB">
          <w:pPr>
            <w:pStyle w:val="CertHDWhite"/>
            <w:tabs>
              <w:tab w:val="left" w:pos="3544"/>
              <w:tab w:val="left" w:pos="7513"/>
            </w:tabs>
            <w:rPr>
              <w:sz w:val="28"/>
              <w:szCs w:val="28"/>
            </w:rPr>
          </w:pPr>
          <w:r>
            <w:rPr>
              <w:sz w:val="28"/>
              <w:szCs w:val="28"/>
            </w:rPr>
            <w:t>Committees of management:</w:t>
          </w:r>
          <w:r w:rsidR="00226F81">
            <w:rPr>
              <w:sz w:val="28"/>
              <w:szCs w:val="28"/>
            </w:rPr>
            <w:t xml:space="preserve"> (</w:t>
          </w:r>
          <w:r w:rsidR="00226F81">
            <w:rPr>
              <w:sz w:val="28"/>
              <w:szCs w:val="28"/>
            </w:rPr>
            <w:t>3</w:t>
          </w:r>
          <w:bookmarkStart w:id="0" w:name="_GoBack"/>
          <w:bookmarkEnd w:id="0"/>
          <w:r>
            <w:rPr>
              <w:sz w:val="28"/>
              <w:szCs w:val="28"/>
            </w:rPr>
            <w:t xml:space="preserve">) </w:t>
          </w:r>
          <w:r w:rsidR="00315FF2">
            <w:rPr>
              <w:sz w:val="28"/>
              <w:szCs w:val="28"/>
            </w:rPr>
            <w:t>Code of Conduct</w:t>
          </w:r>
          <w:r w:rsidR="00C872AB">
            <w:rPr>
              <w:sz w:val="28"/>
              <w:szCs w:val="28"/>
            </w:rPr>
            <w:t xml:space="preserve"> (including gifts)</w:t>
          </w:r>
          <w:r>
            <w:rPr>
              <w:sz w:val="28"/>
              <w:szCs w:val="28"/>
            </w:rPr>
            <w:t>– model policy</w:t>
          </w:r>
          <w:r w:rsidR="00EA57C2">
            <w:rPr>
              <w:sz w:val="28"/>
              <w:szCs w:val="28"/>
            </w:rPr>
            <w:t xml:space="preserve"> </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3AA4ECC8" wp14:editId="641C8068">
          <wp:simplePos x="0" y="0"/>
          <wp:positionH relativeFrom="column">
            <wp:posOffset>-325755</wp:posOffset>
          </wp:positionH>
          <wp:positionV relativeFrom="paragraph">
            <wp:posOffset>227281</wp:posOffset>
          </wp:positionV>
          <wp:extent cx="6829865" cy="2293034"/>
          <wp:effectExtent l="0" t="0" r="9525" b="0"/>
          <wp:wrapNone/>
          <wp:docPr id="24" name="Picture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20115"/>
    <w:multiLevelType w:val="hybridMultilevel"/>
    <w:tmpl w:val="83688CB2"/>
    <w:lvl w:ilvl="0" w:tplc="1242CEB0">
      <w:start w:val="1"/>
      <w:numFmt w:val="bullet"/>
      <w:lvlText w:val="•"/>
      <w:lvlJc w:val="left"/>
      <w:pPr>
        <w:tabs>
          <w:tab w:val="num" w:pos="360"/>
        </w:tabs>
        <w:ind w:left="360" w:hanging="360"/>
      </w:pPr>
      <w:rPr>
        <w:rFonts w:ascii="Arial" w:hAnsi="Arial" w:hint="default"/>
      </w:rPr>
    </w:lvl>
    <w:lvl w:ilvl="1" w:tplc="BDEA5EC6">
      <w:start w:val="596"/>
      <w:numFmt w:val="bullet"/>
      <w:lvlText w:val="o"/>
      <w:lvlJc w:val="left"/>
      <w:pPr>
        <w:tabs>
          <w:tab w:val="num" w:pos="1080"/>
        </w:tabs>
        <w:ind w:left="1080" w:hanging="360"/>
      </w:pPr>
      <w:rPr>
        <w:rFonts w:ascii="Courier New" w:hAnsi="Courier New" w:hint="default"/>
      </w:rPr>
    </w:lvl>
    <w:lvl w:ilvl="2" w:tplc="33909736" w:tentative="1">
      <w:start w:val="1"/>
      <w:numFmt w:val="bullet"/>
      <w:lvlText w:val="•"/>
      <w:lvlJc w:val="left"/>
      <w:pPr>
        <w:tabs>
          <w:tab w:val="num" w:pos="1800"/>
        </w:tabs>
        <w:ind w:left="1800" w:hanging="360"/>
      </w:pPr>
      <w:rPr>
        <w:rFonts w:ascii="Arial" w:hAnsi="Arial" w:hint="default"/>
      </w:rPr>
    </w:lvl>
    <w:lvl w:ilvl="3" w:tplc="95CADEFE" w:tentative="1">
      <w:start w:val="1"/>
      <w:numFmt w:val="bullet"/>
      <w:lvlText w:val="•"/>
      <w:lvlJc w:val="left"/>
      <w:pPr>
        <w:tabs>
          <w:tab w:val="num" w:pos="2520"/>
        </w:tabs>
        <w:ind w:left="2520" w:hanging="360"/>
      </w:pPr>
      <w:rPr>
        <w:rFonts w:ascii="Arial" w:hAnsi="Arial" w:hint="default"/>
      </w:rPr>
    </w:lvl>
    <w:lvl w:ilvl="4" w:tplc="7BEA1B60" w:tentative="1">
      <w:start w:val="1"/>
      <w:numFmt w:val="bullet"/>
      <w:lvlText w:val="•"/>
      <w:lvlJc w:val="left"/>
      <w:pPr>
        <w:tabs>
          <w:tab w:val="num" w:pos="3240"/>
        </w:tabs>
        <w:ind w:left="3240" w:hanging="360"/>
      </w:pPr>
      <w:rPr>
        <w:rFonts w:ascii="Arial" w:hAnsi="Arial" w:hint="default"/>
      </w:rPr>
    </w:lvl>
    <w:lvl w:ilvl="5" w:tplc="76680CE4" w:tentative="1">
      <w:start w:val="1"/>
      <w:numFmt w:val="bullet"/>
      <w:lvlText w:val="•"/>
      <w:lvlJc w:val="left"/>
      <w:pPr>
        <w:tabs>
          <w:tab w:val="num" w:pos="3960"/>
        </w:tabs>
        <w:ind w:left="3960" w:hanging="360"/>
      </w:pPr>
      <w:rPr>
        <w:rFonts w:ascii="Arial" w:hAnsi="Arial" w:hint="default"/>
      </w:rPr>
    </w:lvl>
    <w:lvl w:ilvl="6" w:tplc="C46298C6" w:tentative="1">
      <w:start w:val="1"/>
      <w:numFmt w:val="bullet"/>
      <w:lvlText w:val="•"/>
      <w:lvlJc w:val="left"/>
      <w:pPr>
        <w:tabs>
          <w:tab w:val="num" w:pos="4680"/>
        </w:tabs>
        <w:ind w:left="4680" w:hanging="360"/>
      </w:pPr>
      <w:rPr>
        <w:rFonts w:ascii="Arial" w:hAnsi="Arial" w:hint="default"/>
      </w:rPr>
    </w:lvl>
    <w:lvl w:ilvl="7" w:tplc="8F6231A0" w:tentative="1">
      <w:start w:val="1"/>
      <w:numFmt w:val="bullet"/>
      <w:lvlText w:val="•"/>
      <w:lvlJc w:val="left"/>
      <w:pPr>
        <w:tabs>
          <w:tab w:val="num" w:pos="5400"/>
        </w:tabs>
        <w:ind w:left="5400" w:hanging="360"/>
      </w:pPr>
      <w:rPr>
        <w:rFonts w:ascii="Arial" w:hAnsi="Arial" w:hint="default"/>
      </w:rPr>
    </w:lvl>
    <w:lvl w:ilvl="8" w:tplc="285483C2" w:tentative="1">
      <w:start w:val="1"/>
      <w:numFmt w:val="bullet"/>
      <w:lvlText w:val="•"/>
      <w:lvlJc w:val="left"/>
      <w:pPr>
        <w:tabs>
          <w:tab w:val="num" w:pos="6120"/>
        </w:tabs>
        <w:ind w:left="6120" w:hanging="360"/>
      </w:pPr>
      <w:rPr>
        <w:rFonts w:ascii="Arial" w:hAnsi="Arial"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5C3595A"/>
    <w:multiLevelType w:val="hybridMultilevel"/>
    <w:tmpl w:val="18F4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4452"/>
    <w:rsid w:val="00055FEF"/>
    <w:rsid w:val="00056393"/>
    <w:rsid w:val="00057DBC"/>
    <w:rsid w:val="00062DAF"/>
    <w:rsid w:val="00063E31"/>
    <w:rsid w:val="00064126"/>
    <w:rsid w:val="000645D2"/>
    <w:rsid w:val="00065CAC"/>
    <w:rsid w:val="00065DCA"/>
    <w:rsid w:val="00071156"/>
    <w:rsid w:val="00075307"/>
    <w:rsid w:val="000768CB"/>
    <w:rsid w:val="00077758"/>
    <w:rsid w:val="00084C46"/>
    <w:rsid w:val="0008754B"/>
    <w:rsid w:val="00090B3E"/>
    <w:rsid w:val="000912BD"/>
    <w:rsid w:val="00096553"/>
    <w:rsid w:val="0009699E"/>
    <w:rsid w:val="000B5903"/>
    <w:rsid w:val="000B65E4"/>
    <w:rsid w:val="000C1E27"/>
    <w:rsid w:val="000C3259"/>
    <w:rsid w:val="000C39E4"/>
    <w:rsid w:val="000C4DC1"/>
    <w:rsid w:val="000C5B26"/>
    <w:rsid w:val="000C753A"/>
    <w:rsid w:val="000D2512"/>
    <w:rsid w:val="000D54BA"/>
    <w:rsid w:val="000D5C88"/>
    <w:rsid w:val="000E37C5"/>
    <w:rsid w:val="000E7036"/>
    <w:rsid w:val="000E787C"/>
    <w:rsid w:val="000F55F1"/>
    <w:rsid w:val="001013E9"/>
    <w:rsid w:val="00111044"/>
    <w:rsid w:val="00111811"/>
    <w:rsid w:val="00113F41"/>
    <w:rsid w:val="00120C40"/>
    <w:rsid w:val="00120F3F"/>
    <w:rsid w:val="00125376"/>
    <w:rsid w:val="00135491"/>
    <w:rsid w:val="00135E62"/>
    <w:rsid w:val="001434DA"/>
    <w:rsid w:val="0014585D"/>
    <w:rsid w:val="00145AEF"/>
    <w:rsid w:val="0015190A"/>
    <w:rsid w:val="00154577"/>
    <w:rsid w:val="001635B1"/>
    <w:rsid w:val="0017095A"/>
    <w:rsid w:val="001714E2"/>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46F0"/>
    <w:rsid w:val="001E5244"/>
    <w:rsid w:val="001F05C5"/>
    <w:rsid w:val="001F256D"/>
    <w:rsid w:val="001F40CB"/>
    <w:rsid w:val="001F6D36"/>
    <w:rsid w:val="002015AD"/>
    <w:rsid w:val="00201A07"/>
    <w:rsid w:val="0020255B"/>
    <w:rsid w:val="00211523"/>
    <w:rsid w:val="002122D2"/>
    <w:rsid w:val="00216E6F"/>
    <w:rsid w:val="002171B6"/>
    <w:rsid w:val="00217D52"/>
    <w:rsid w:val="00220902"/>
    <w:rsid w:val="00225FF6"/>
    <w:rsid w:val="00226F81"/>
    <w:rsid w:val="0022751F"/>
    <w:rsid w:val="00236DA4"/>
    <w:rsid w:val="0024155C"/>
    <w:rsid w:val="0024281C"/>
    <w:rsid w:val="0024429A"/>
    <w:rsid w:val="00246D68"/>
    <w:rsid w:val="00246E7A"/>
    <w:rsid w:val="002526EA"/>
    <w:rsid w:val="00254020"/>
    <w:rsid w:val="00255C05"/>
    <w:rsid w:val="0026073B"/>
    <w:rsid w:val="002613D5"/>
    <w:rsid w:val="00261DCB"/>
    <w:rsid w:val="00271B91"/>
    <w:rsid w:val="00285925"/>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81323"/>
    <w:rsid w:val="00385DE1"/>
    <w:rsid w:val="00390D2D"/>
    <w:rsid w:val="00391FEF"/>
    <w:rsid w:val="003A21AE"/>
    <w:rsid w:val="003A38C0"/>
    <w:rsid w:val="003A5FCB"/>
    <w:rsid w:val="003B43DE"/>
    <w:rsid w:val="003B67C9"/>
    <w:rsid w:val="003B714B"/>
    <w:rsid w:val="003B73A3"/>
    <w:rsid w:val="003C0AE2"/>
    <w:rsid w:val="003C2962"/>
    <w:rsid w:val="003C4C6B"/>
    <w:rsid w:val="003C64BD"/>
    <w:rsid w:val="003D7B11"/>
    <w:rsid w:val="003E08BD"/>
    <w:rsid w:val="003E0B9A"/>
    <w:rsid w:val="003F1932"/>
    <w:rsid w:val="003F3A22"/>
    <w:rsid w:val="003F3FD0"/>
    <w:rsid w:val="003F437F"/>
    <w:rsid w:val="003F519F"/>
    <w:rsid w:val="003F5A5C"/>
    <w:rsid w:val="003F6F20"/>
    <w:rsid w:val="004021FC"/>
    <w:rsid w:val="00404EF3"/>
    <w:rsid w:val="00405E81"/>
    <w:rsid w:val="00406463"/>
    <w:rsid w:val="00411AE0"/>
    <w:rsid w:val="004168CB"/>
    <w:rsid w:val="00426499"/>
    <w:rsid w:val="00432897"/>
    <w:rsid w:val="0043327C"/>
    <w:rsid w:val="0043348E"/>
    <w:rsid w:val="004426E1"/>
    <w:rsid w:val="004469C1"/>
    <w:rsid w:val="0045570F"/>
    <w:rsid w:val="00455AC0"/>
    <w:rsid w:val="00455EFA"/>
    <w:rsid w:val="00464027"/>
    <w:rsid w:val="0047395C"/>
    <w:rsid w:val="00473EE4"/>
    <w:rsid w:val="004752E5"/>
    <w:rsid w:val="0047538B"/>
    <w:rsid w:val="0047767A"/>
    <w:rsid w:val="00482508"/>
    <w:rsid w:val="00487611"/>
    <w:rsid w:val="00496910"/>
    <w:rsid w:val="004969C1"/>
    <w:rsid w:val="004A264C"/>
    <w:rsid w:val="004A4BB9"/>
    <w:rsid w:val="004B4F57"/>
    <w:rsid w:val="004C1F3C"/>
    <w:rsid w:val="004D24F7"/>
    <w:rsid w:val="004E4BDF"/>
    <w:rsid w:val="004E6888"/>
    <w:rsid w:val="004E6D65"/>
    <w:rsid w:val="004E73C4"/>
    <w:rsid w:val="004F5651"/>
    <w:rsid w:val="005056F5"/>
    <w:rsid w:val="0050769F"/>
    <w:rsid w:val="00510A2E"/>
    <w:rsid w:val="00512102"/>
    <w:rsid w:val="00512D4E"/>
    <w:rsid w:val="00514D24"/>
    <w:rsid w:val="005229C6"/>
    <w:rsid w:val="00524C52"/>
    <w:rsid w:val="005304F7"/>
    <w:rsid w:val="00530F75"/>
    <w:rsid w:val="00532326"/>
    <w:rsid w:val="00533181"/>
    <w:rsid w:val="0053318F"/>
    <w:rsid w:val="00534B38"/>
    <w:rsid w:val="005371DE"/>
    <w:rsid w:val="00540762"/>
    <w:rsid w:val="00542A09"/>
    <w:rsid w:val="00544B68"/>
    <w:rsid w:val="00554654"/>
    <w:rsid w:val="00557B17"/>
    <w:rsid w:val="0056076E"/>
    <w:rsid w:val="00565531"/>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E3A"/>
    <w:rsid w:val="006113E1"/>
    <w:rsid w:val="00616888"/>
    <w:rsid w:val="006200BB"/>
    <w:rsid w:val="00623482"/>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70F9"/>
    <w:rsid w:val="00667E70"/>
    <w:rsid w:val="006741C5"/>
    <w:rsid w:val="00675636"/>
    <w:rsid w:val="006767CB"/>
    <w:rsid w:val="006800DF"/>
    <w:rsid w:val="00691F3B"/>
    <w:rsid w:val="0069559B"/>
    <w:rsid w:val="006A2476"/>
    <w:rsid w:val="006A2514"/>
    <w:rsid w:val="006A7DA3"/>
    <w:rsid w:val="006B35AF"/>
    <w:rsid w:val="006B4688"/>
    <w:rsid w:val="006B6A6F"/>
    <w:rsid w:val="006B6D53"/>
    <w:rsid w:val="006C15AF"/>
    <w:rsid w:val="006C254A"/>
    <w:rsid w:val="006C70EF"/>
    <w:rsid w:val="006C74D6"/>
    <w:rsid w:val="006C7DA7"/>
    <w:rsid w:val="006D2D9C"/>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37CB"/>
    <w:rsid w:val="007B62F8"/>
    <w:rsid w:val="007B6E26"/>
    <w:rsid w:val="007C279A"/>
    <w:rsid w:val="007D06DC"/>
    <w:rsid w:val="007D5D30"/>
    <w:rsid w:val="007E3E33"/>
    <w:rsid w:val="007E6690"/>
    <w:rsid w:val="007F0451"/>
    <w:rsid w:val="007F1C9B"/>
    <w:rsid w:val="007F2140"/>
    <w:rsid w:val="007F5211"/>
    <w:rsid w:val="00802259"/>
    <w:rsid w:val="008110B2"/>
    <w:rsid w:val="00815894"/>
    <w:rsid w:val="00826EBF"/>
    <w:rsid w:val="00834943"/>
    <w:rsid w:val="0083541B"/>
    <w:rsid w:val="008401F9"/>
    <w:rsid w:val="00844D8A"/>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C1B1D"/>
    <w:rsid w:val="008C420B"/>
    <w:rsid w:val="008C62E5"/>
    <w:rsid w:val="008E39E1"/>
    <w:rsid w:val="008E66DF"/>
    <w:rsid w:val="008F4932"/>
    <w:rsid w:val="009131A4"/>
    <w:rsid w:val="00915D5A"/>
    <w:rsid w:val="00920D57"/>
    <w:rsid w:val="00922F45"/>
    <w:rsid w:val="009253E8"/>
    <w:rsid w:val="00926BDE"/>
    <w:rsid w:val="00927E6A"/>
    <w:rsid w:val="009364AB"/>
    <w:rsid w:val="00936BF0"/>
    <w:rsid w:val="00942316"/>
    <w:rsid w:val="00942CDF"/>
    <w:rsid w:val="00945A38"/>
    <w:rsid w:val="00947B61"/>
    <w:rsid w:val="009523BC"/>
    <w:rsid w:val="00952BCB"/>
    <w:rsid w:val="00953344"/>
    <w:rsid w:val="009537CD"/>
    <w:rsid w:val="00954E3F"/>
    <w:rsid w:val="00960CF0"/>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3F08"/>
    <w:rsid w:val="00A04614"/>
    <w:rsid w:val="00A049D6"/>
    <w:rsid w:val="00A11FE6"/>
    <w:rsid w:val="00A16175"/>
    <w:rsid w:val="00A17BF2"/>
    <w:rsid w:val="00A26DA1"/>
    <w:rsid w:val="00A32FCE"/>
    <w:rsid w:val="00A357C2"/>
    <w:rsid w:val="00A360D1"/>
    <w:rsid w:val="00A36BC9"/>
    <w:rsid w:val="00A37BFA"/>
    <w:rsid w:val="00A44AFD"/>
    <w:rsid w:val="00A450AC"/>
    <w:rsid w:val="00A500BE"/>
    <w:rsid w:val="00A55313"/>
    <w:rsid w:val="00A556F0"/>
    <w:rsid w:val="00A56C4D"/>
    <w:rsid w:val="00A614B0"/>
    <w:rsid w:val="00A61E04"/>
    <w:rsid w:val="00A62968"/>
    <w:rsid w:val="00A6450E"/>
    <w:rsid w:val="00A6672D"/>
    <w:rsid w:val="00A66B72"/>
    <w:rsid w:val="00A67D11"/>
    <w:rsid w:val="00A730A4"/>
    <w:rsid w:val="00A80E1B"/>
    <w:rsid w:val="00A83A7C"/>
    <w:rsid w:val="00A85593"/>
    <w:rsid w:val="00A86D9D"/>
    <w:rsid w:val="00A90549"/>
    <w:rsid w:val="00A91ECD"/>
    <w:rsid w:val="00A97C73"/>
    <w:rsid w:val="00AA13BD"/>
    <w:rsid w:val="00AA6401"/>
    <w:rsid w:val="00AB1938"/>
    <w:rsid w:val="00AB37C5"/>
    <w:rsid w:val="00AB446A"/>
    <w:rsid w:val="00AB6453"/>
    <w:rsid w:val="00AC0691"/>
    <w:rsid w:val="00AC0ECF"/>
    <w:rsid w:val="00AC15FE"/>
    <w:rsid w:val="00AC2BFC"/>
    <w:rsid w:val="00AC372B"/>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3961"/>
    <w:rsid w:val="00B65C5D"/>
    <w:rsid w:val="00B6754A"/>
    <w:rsid w:val="00B746A3"/>
    <w:rsid w:val="00B85813"/>
    <w:rsid w:val="00B928AF"/>
    <w:rsid w:val="00B9392E"/>
    <w:rsid w:val="00B95745"/>
    <w:rsid w:val="00BA25D5"/>
    <w:rsid w:val="00BA342A"/>
    <w:rsid w:val="00BA5D84"/>
    <w:rsid w:val="00BB37E4"/>
    <w:rsid w:val="00BC5868"/>
    <w:rsid w:val="00BD2666"/>
    <w:rsid w:val="00BD4BC3"/>
    <w:rsid w:val="00BD4BCF"/>
    <w:rsid w:val="00BE0228"/>
    <w:rsid w:val="00BE3BD3"/>
    <w:rsid w:val="00BE3EDF"/>
    <w:rsid w:val="00BF0552"/>
    <w:rsid w:val="00BF0882"/>
    <w:rsid w:val="00BF28EE"/>
    <w:rsid w:val="00BF62F9"/>
    <w:rsid w:val="00C04790"/>
    <w:rsid w:val="00C061DD"/>
    <w:rsid w:val="00C064D8"/>
    <w:rsid w:val="00C12A10"/>
    <w:rsid w:val="00C2005E"/>
    <w:rsid w:val="00C20463"/>
    <w:rsid w:val="00C27518"/>
    <w:rsid w:val="00C3293B"/>
    <w:rsid w:val="00C33F2A"/>
    <w:rsid w:val="00C36059"/>
    <w:rsid w:val="00C37D64"/>
    <w:rsid w:val="00C403BA"/>
    <w:rsid w:val="00C42F01"/>
    <w:rsid w:val="00C46B5E"/>
    <w:rsid w:val="00C55DC7"/>
    <w:rsid w:val="00C651CE"/>
    <w:rsid w:val="00C65C0C"/>
    <w:rsid w:val="00C7182C"/>
    <w:rsid w:val="00C73267"/>
    <w:rsid w:val="00C772CA"/>
    <w:rsid w:val="00C82781"/>
    <w:rsid w:val="00C86652"/>
    <w:rsid w:val="00C86B17"/>
    <w:rsid w:val="00C872AB"/>
    <w:rsid w:val="00C9203C"/>
    <w:rsid w:val="00CA19B7"/>
    <w:rsid w:val="00CA35CE"/>
    <w:rsid w:val="00CA48E0"/>
    <w:rsid w:val="00CA61E8"/>
    <w:rsid w:val="00CB2CD3"/>
    <w:rsid w:val="00CB6FB3"/>
    <w:rsid w:val="00CC23A6"/>
    <w:rsid w:val="00CC6868"/>
    <w:rsid w:val="00CD0C9F"/>
    <w:rsid w:val="00CD1611"/>
    <w:rsid w:val="00CD4F00"/>
    <w:rsid w:val="00CD784C"/>
    <w:rsid w:val="00CE10A1"/>
    <w:rsid w:val="00CE2CF3"/>
    <w:rsid w:val="00CE575A"/>
    <w:rsid w:val="00CF41F7"/>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5BD0"/>
    <w:rsid w:val="00D53446"/>
    <w:rsid w:val="00D54DE0"/>
    <w:rsid w:val="00D57FF0"/>
    <w:rsid w:val="00D634D8"/>
    <w:rsid w:val="00D6477D"/>
    <w:rsid w:val="00D7333A"/>
    <w:rsid w:val="00D8058E"/>
    <w:rsid w:val="00D823EC"/>
    <w:rsid w:val="00D840DE"/>
    <w:rsid w:val="00D84684"/>
    <w:rsid w:val="00D84E61"/>
    <w:rsid w:val="00D87849"/>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650"/>
    <w:rsid w:val="00E052FB"/>
    <w:rsid w:val="00E07718"/>
    <w:rsid w:val="00E12A00"/>
    <w:rsid w:val="00E1532E"/>
    <w:rsid w:val="00E15BD0"/>
    <w:rsid w:val="00E202F8"/>
    <w:rsid w:val="00E21C25"/>
    <w:rsid w:val="00E2394C"/>
    <w:rsid w:val="00E24BA8"/>
    <w:rsid w:val="00E30FFD"/>
    <w:rsid w:val="00E3243F"/>
    <w:rsid w:val="00E325A1"/>
    <w:rsid w:val="00E33F9A"/>
    <w:rsid w:val="00E433F5"/>
    <w:rsid w:val="00E434E6"/>
    <w:rsid w:val="00E45654"/>
    <w:rsid w:val="00E51072"/>
    <w:rsid w:val="00E535D0"/>
    <w:rsid w:val="00E53E6B"/>
    <w:rsid w:val="00E56D27"/>
    <w:rsid w:val="00E6278D"/>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75EA"/>
    <w:rsid w:val="00EC05BA"/>
    <w:rsid w:val="00EC4DCD"/>
    <w:rsid w:val="00EC5305"/>
    <w:rsid w:val="00EC6F19"/>
    <w:rsid w:val="00EE1D43"/>
    <w:rsid w:val="00EE2BEC"/>
    <w:rsid w:val="00EF2B0B"/>
    <w:rsid w:val="00F00081"/>
    <w:rsid w:val="00F00114"/>
    <w:rsid w:val="00F0013D"/>
    <w:rsid w:val="00F031CC"/>
    <w:rsid w:val="00F0569C"/>
    <w:rsid w:val="00F05CE0"/>
    <w:rsid w:val="00F10174"/>
    <w:rsid w:val="00F10929"/>
    <w:rsid w:val="00F1125D"/>
    <w:rsid w:val="00F13B95"/>
    <w:rsid w:val="00F13F3D"/>
    <w:rsid w:val="00F15CF7"/>
    <w:rsid w:val="00F16DE6"/>
    <w:rsid w:val="00F228E4"/>
    <w:rsid w:val="00F26838"/>
    <w:rsid w:val="00F27E16"/>
    <w:rsid w:val="00F3130E"/>
    <w:rsid w:val="00F34DA5"/>
    <w:rsid w:val="00F46148"/>
    <w:rsid w:val="00F54B9E"/>
    <w:rsid w:val="00F54CCE"/>
    <w:rsid w:val="00F56144"/>
    <w:rsid w:val="00F577C8"/>
    <w:rsid w:val="00F63568"/>
    <w:rsid w:val="00F67782"/>
    <w:rsid w:val="00F708A6"/>
    <w:rsid w:val="00F7280D"/>
    <w:rsid w:val="00F74611"/>
    <w:rsid w:val="00F74678"/>
    <w:rsid w:val="00F80659"/>
    <w:rsid w:val="00F83A6F"/>
    <w:rsid w:val="00F83A84"/>
    <w:rsid w:val="00F845F4"/>
    <w:rsid w:val="00F910D5"/>
    <w:rsid w:val="00F930FD"/>
    <w:rsid w:val="00F96CFF"/>
    <w:rsid w:val="00F97E7B"/>
    <w:rsid w:val="00FA0D32"/>
    <w:rsid w:val="00FA2BC8"/>
    <w:rsid w:val="00FB0441"/>
    <w:rsid w:val="00FB2B07"/>
    <w:rsid w:val="00FC01F8"/>
    <w:rsid w:val="00FC3962"/>
    <w:rsid w:val="00FC4E61"/>
    <w:rsid w:val="00FD34FA"/>
    <w:rsid w:val="00FD3FA7"/>
    <w:rsid w:val="00FD4A29"/>
    <w:rsid w:val="00FD674C"/>
    <w:rsid w:val="00FD74D6"/>
    <w:rsid w:val="00FE0078"/>
    <w:rsid w:val="00FE229F"/>
    <w:rsid w:val="00FE2C1D"/>
    <w:rsid w:val="00FE4EB7"/>
    <w:rsid w:val="00FE56FD"/>
    <w:rsid w:val="00FF0FE0"/>
    <w:rsid w:val="00FF227E"/>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committees" TargetMode="External"/><Relationship Id="rId18" Type="http://schemas.openxmlformats.org/officeDocument/2006/relationships/hyperlink" Target="http://www.delwp.vic.gov.au/committe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hyperlink" Target="http://www.ssa.vic.gov.au/products/view-products/codes-of-conduct.html" TargetMode="External"/><Relationship Id="rId17" Type="http://schemas.openxmlformats.org/officeDocument/2006/relationships/hyperlink" Target="http://www.delwp.vic.gov.au" TargetMode="External"/><Relationship Id="rId25" Type="http://schemas.openxmlformats.org/officeDocument/2006/relationships/hyperlink" Target="http://creativecommons.org/licenses/by/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hyperlink" Target="http://creativecommons.org/licenses/by/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vic.gov.au/products/view-products/directors-code-of-conduct-and-guidance-notes.html" TargetMode="External"/><Relationship Id="rId24" Type="http://schemas.openxmlformats.org/officeDocument/2006/relationships/hyperlink" Target="http://www.delwp.vic.gov.au/committe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23" Type="http://schemas.openxmlformats.org/officeDocument/2006/relationships/hyperlink" Target="http://www.delwp.vic.gov.au" TargetMode="External"/><Relationship Id="rId28" Type="http://schemas.openxmlformats.org/officeDocument/2006/relationships/footer" Target="footer1.xml"/><Relationship Id="rId10" Type="http://schemas.openxmlformats.org/officeDocument/2006/relationships/hyperlink" Target="http://www.delwp.vic.gov.au/onboard" TargetMode="External"/><Relationship Id="rId19" Type="http://schemas.openxmlformats.org/officeDocument/2006/relationships/image" Target="media/image1.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www.ssa.vic.gov.au/products/view-products/directors-code-of-conduct-and-guidance-notes.html" TargetMode="External"/><Relationship Id="rId22" Type="http://schemas.openxmlformats.org/officeDocument/2006/relationships/hyperlink" Target="http://www.relayservice.com.au"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depi.vic.gov.au/about-us/boards-and-governance/on-board-governance-guides-and-resources/public-administration-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F9C-CE2F-4352-871E-58CC707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1207</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2015-09-23T02:19:00Z</dcterms:created>
  <dcterms:modified xsi:type="dcterms:W3CDTF">2015-09-23T02:19:00Z</dcterms:modified>
</cp:coreProperties>
</file>