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Borders>
          <w:top w:val="single" w:sz="4" w:space="0" w:color="228591"/>
          <w:bottom w:val="single" w:sz="4" w:space="0" w:color="228591"/>
        </w:tblBorders>
        <w:tblLook w:val="01E0" w:firstRow="1" w:lastRow="1" w:firstColumn="1" w:lastColumn="1" w:noHBand="0" w:noVBand="0"/>
      </w:tblPr>
      <w:tblGrid>
        <w:gridCol w:w="1134"/>
        <w:gridCol w:w="8647"/>
      </w:tblGrid>
      <w:tr w:rsidR="00527087" w:rsidRPr="00EB3108" w14:paraId="10A83436" w14:textId="77777777" w:rsidTr="00527087">
        <w:tc>
          <w:tcPr>
            <w:tcW w:w="1134" w:type="dxa"/>
            <w:tcBorders>
              <w:top w:val="single" w:sz="4" w:space="0" w:color="228591"/>
              <w:left w:val="nil"/>
              <w:bottom w:val="single" w:sz="4" w:space="0" w:color="228591"/>
              <w:right w:val="nil"/>
            </w:tcBorders>
            <w:shd w:val="clear" w:color="auto" w:fill="228591"/>
            <w:hideMark/>
          </w:tcPr>
          <w:p w14:paraId="10A83434" w14:textId="77777777" w:rsidR="00527087" w:rsidRPr="00EB3108" w:rsidRDefault="00E956C6" w:rsidP="00EB3108">
            <w:pPr>
              <w:pStyle w:val="TblHd"/>
              <w:spacing w:line="276" w:lineRule="auto"/>
              <w:rPr>
                <w:rFonts w:asciiTheme="minorHAnsi" w:hAnsiTheme="minorHAnsi"/>
              </w:rPr>
            </w:pPr>
            <w:bookmarkStart w:id="0" w:name="_Toc409099177"/>
            <w:bookmarkStart w:id="1" w:name="_Toc409099412"/>
            <w:bookmarkStart w:id="2" w:name="_Toc409099510"/>
            <w:bookmarkStart w:id="3" w:name="_Toc409099681"/>
            <w:bookmarkStart w:id="4" w:name="_GoBack"/>
            <w:bookmarkEnd w:id="4"/>
            <w:r w:rsidRPr="00EB3108">
              <w:rPr>
                <w:rFonts w:asciiTheme="minorHAnsi" w:hAnsiTheme="minorHAnsi"/>
                <w:color w:val="FFFFFF" w:themeColor="background1"/>
              </w:rPr>
              <w:t>Purpos</w:t>
            </w:r>
            <w:r w:rsidR="00AC6B0F" w:rsidRPr="00EB3108">
              <w:rPr>
                <w:rFonts w:asciiTheme="minorHAnsi" w:hAnsiTheme="minorHAnsi"/>
                <w:color w:val="FFFFFF" w:themeColor="background1"/>
              </w:rPr>
              <w:t>e</w:t>
            </w:r>
          </w:p>
        </w:tc>
        <w:tc>
          <w:tcPr>
            <w:tcW w:w="8647" w:type="dxa"/>
            <w:tcBorders>
              <w:top w:val="single" w:sz="4" w:space="0" w:color="228591"/>
              <w:left w:val="nil"/>
              <w:bottom w:val="single" w:sz="4" w:space="0" w:color="228591"/>
              <w:right w:val="nil"/>
            </w:tcBorders>
            <w:hideMark/>
          </w:tcPr>
          <w:p w14:paraId="0048BEC5" w14:textId="77777777" w:rsidR="00EB3108" w:rsidRPr="0074475B" w:rsidRDefault="00EB3108" w:rsidP="0074475B">
            <w:pPr>
              <w:pStyle w:val="Bullet"/>
            </w:pPr>
            <w:r w:rsidRPr="0074475B">
              <w:t>To outline the department’s policy:</w:t>
            </w:r>
          </w:p>
          <w:p w14:paraId="01CB47AA" w14:textId="538561A8" w:rsidR="00EB3108" w:rsidRPr="0009044F" w:rsidRDefault="00EB3108" w:rsidP="0009044F">
            <w:pPr>
              <w:numPr>
                <w:ilvl w:val="0"/>
                <w:numId w:val="40"/>
              </w:numPr>
              <w:spacing w:before="60" w:after="60"/>
              <w:ind w:left="357" w:hanging="357"/>
              <w:rPr>
                <w:rFonts w:asciiTheme="minorHAnsi" w:hAnsiTheme="minorHAnsi"/>
              </w:rPr>
            </w:pPr>
            <w:r w:rsidRPr="0009044F">
              <w:rPr>
                <w:rFonts w:asciiTheme="minorHAnsi" w:hAnsiTheme="minorHAnsi"/>
              </w:rPr>
              <w:t xml:space="preserve">on minimising external offers of gifts, benefits and hospitality made to, and accepted by, employees (including other workplace participants) </w:t>
            </w:r>
          </w:p>
          <w:p w14:paraId="10A83435" w14:textId="72EC2F41" w:rsidR="00527087" w:rsidRPr="00EB3108" w:rsidRDefault="00EB3108" w:rsidP="0009044F">
            <w:pPr>
              <w:numPr>
                <w:ilvl w:val="0"/>
                <w:numId w:val="40"/>
              </w:numPr>
              <w:spacing w:before="60" w:after="60"/>
              <w:ind w:left="357" w:hanging="357"/>
              <w:rPr>
                <w:rFonts w:asciiTheme="minorHAnsi" w:hAnsiTheme="minorHAnsi"/>
                <w:b/>
              </w:rPr>
            </w:pPr>
            <w:r w:rsidRPr="0009044F">
              <w:rPr>
                <w:rFonts w:asciiTheme="minorHAnsi" w:hAnsiTheme="minorHAnsi"/>
              </w:rPr>
              <w:t>when it can provide gifts, benefits and hospitality.</w:t>
            </w:r>
          </w:p>
        </w:tc>
      </w:tr>
    </w:tbl>
    <w:bookmarkEnd w:id="0"/>
    <w:bookmarkEnd w:id="1"/>
    <w:bookmarkEnd w:id="2"/>
    <w:bookmarkEnd w:id="3"/>
    <w:p w14:paraId="10A83437" w14:textId="77777777" w:rsidR="00E2394C" w:rsidRPr="00EB3108" w:rsidRDefault="00DC4D88" w:rsidP="008B6CF9">
      <w:pPr>
        <w:pStyle w:val="Heading1"/>
        <w:rPr>
          <w:rFonts w:asciiTheme="minorHAnsi" w:hAnsiTheme="minorHAnsi"/>
        </w:rPr>
      </w:pPr>
      <w:r w:rsidRPr="00EB3108">
        <w:rPr>
          <w:rFonts w:asciiTheme="minorHAnsi" w:hAnsiTheme="minorHAnsi"/>
        </w:rPr>
        <w:t>Policy rules</w:t>
      </w:r>
    </w:p>
    <w:tbl>
      <w:tblPr>
        <w:tblStyle w:val="TableGrid"/>
        <w:tblW w:w="0" w:type="auto"/>
        <w:tblInd w:w="108" w:type="dxa"/>
        <w:tblLook w:val="04A0" w:firstRow="1" w:lastRow="0" w:firstColumn="1" w:lastColumn="0" w:noHBand="0" w:noVBand="1"/>
      </w:tblPr>
      <w:tblGrid>
        <w:gridCol w:w="9747"/>
      </w:tblGrid>
      <w:tr w:rsidR="00467D8F" w:rsidRPr="00EB3108" w14:paraId="10A83444" w14:textId="77777777" w:rsidTr="00332CB5">
        <w:tc>
          <w:tcPr>
            <w:tcW w:w="9747" w:type="dxa"/>
          </w:tcPr>
          <w:p w14:paraId="466F9374" w14:textId="252A5529" w:rsidR="00DF5B56" w:rsidRPr="00DF5B56" w:rsidRDefault="00EB3108" w:rsidP="00443AE3">
            <w:pPr>
              <w:pStyle w:val="Heading2"/>
              <w:spacing w:before="60" w:after="60" w:line="240" w:lineRule="auto"/>
              <w:rPr>
                <w:rFonts w:asciiTheme="minorHAnsi" w:hAnsiTheme="minorHAnsi"/>
              </w:rPr>
            </w:pPr>
            <w:r w:rsidRPr="00EB3108">
              <w:rPr>
                <w:rFonts w:asciiTheme="minorHAnsi" w:hAnsiTheme="minorHAnsi"/>
              </w:rPr>
              <w:t xml:space="preserve">Receiving – dealing with offers of gifts, benefits or hospitality </w:t>
            </w:r>
          </w:p>
          <w:p w14:paraId="392625D5" w14:textId="14E83B75" w:rsidR="00EB3108" w:rsidRPr="00F946DA" w:rsidRDefault="00EB3108" w:rsidP="00F946DA">
            <w:pPr>
              <w:pStyle w:val="Bullet"/>
              <w:numPr>
                <w:ilvl w:val="0"/>
                <w:numId w:val="26"/>
              </w:numPr>
              <w:rPr>
                <w:rFonts w:cs="Calibri"/>
                <w:szCs w:val="22"/>
              </w:rPr>
            </w:pPr>
            <w:r w:rsidRPr="00EB3108">
              <w:rPr>
                <w:rFonts w:cs="Calibri"/>
                <w:szCs w:val="22"/>
              </w:rPr>
              <w:t xml:space="preserve">You should discourage </w:t>
            </w:r>
            <w:r w:rsidRPr="00EB3108">
              <w:t>gifts, benefits and hospitality to you or your close relatives, friends or associates, that result from your role with the department, and minimise the offers you do accept.</w:t>
            </w:r>
          </w:p>
          <w:p w14:paraId="2C3DC5F5" w14:textId="65DBBA9C" w:rsidR="00F946DA" w:rsidRPr="00F946DA" w:rsidRDefault="00F946DA" w:rsidP="00F946DA">
            <w:pPr>
              <w:pStyle w:val="Bullet"/>
              <w:numPr>
                <w:ilvl w:val="0"/>
                <w:numId w:val="26"/>
              </w:numPr>
              <w:rPr>
                <w:rFonts w:cs="Calibri"/>
                <w:szCs w:val="22"/>
              </w:rPr>
            </w:pPr>
            <w:r>
              <w:rPr>
                <w:rFonts w:cs="Calibri"/>
                <w:szCs w:val="22"/>
              </w:rPr>
              <w:t xml:space="preserve">You </w:t>
            </w:r>
            <w:r w:rsidRPr="00EB3108">
              <w:t xml:space="preserve">must not seek </w:t>
            </w:r>
            <w:hyperlink w:anchor="_Terms_used_in" w:history="1">
              <w:r w:rsidRPr="00EB3108">
                <w:rPr>
                  <w:rStyle w:val="Hyperlink"/>
                  <w:rFonts w:asciiTheme="minorHAnsi" w:hAnsiTheme="minorHAnsi" w:cs="Calibri"/>
                  <w:szCs w:val="22"/>
                </w:rPr>
                <w:t>gift offers</w:t>
              </w:r>
            </w:hyperlink>
            <w:r>
              <w:t xml:space="preserve"> for yourself or anyone else.</w:t>
            </w:r>
          </w:p>
          <w:p w14:paraId="4419F120" w14:textId="36BBEFCA" w:rsidR="00EB3108" w:rsidRDefault="00F946DA" w:rsidP="00720184">
            <w:pPr>
              <w:pStyle w:val="Bullet"/>
              <w:numPr>
                <w:ilvl w:val="0"/>
                <w:numId w:val="26"/>
              </w:numPr>
            </w:pPr>
            <w:r w:rsidRPr="00F946DA">
              <w:rPr>
                <w:rFonts w:cs="Calibri"/>
                <w:szCs w:val="22"/>
              </w:rPr>
              <w:t xml:space="preserve">You are </w:t>
            </w:r>
            <w:r w:rsidR="00EB3108" w:rsidRPr="00EB3108">
              <w:t>to refuse all gift offers that:</w:t>
            </w:r>
          </w:p>
          <w:p w14:paraId="6AC5A197" w14:textId="77777777" w:rsidR="00F946DA" w:rsidRPr="00EB3108" w:rsidRDefault="00F946DA" w:rsidP="00F946DA">
            <w:pPr>
              <w:pStyle w:val="Bullet"/>
              <w:numPr>
                <w:ilvl w:val="0"/>
                <w:numId w:val="41"/>
              </w:numPr>
            </w:pPr>
            <w:r w:rsidRPr="00EB3108">
              <w:t xml:space="preserve">are likely to influence you, or be perceived to influence you, during your duties as an </w:t>
            </w:r>
            <w:hyperlink w:anchor="_Terms_used_in" w:history="1">
              <w:r w:rsidRPr="00EB3108">
                <w:rPr>
                  <w:rStyle w:val="Hyperlink"/>
                  <w:rFonts w:asciiTheme="minorHAnsi" w:hAnsiTheme="minorHAnsi" w:cs="Calibri"/>
                  <w:szCs w:val="22"/>
                </w:rPr>
                <w:t>employee</w:t>
              </w:r>
            </w:hyperlink>
            <w:r w:rsidRPr="00EB3108">
              <w:t xml:space="preserve"> of the department </w:t>
            </w:r>
          </w:p>
          <w:p w14:paraId="3AD51E95" w14:textId="77777777" w:rsidR="00F946DA" w:rsidRPr="00EB3108" w:rsidRDefault="00F946DA" w:rsidP="00F946DA">
            <w:pPr>
              <w:pStyle w:val="Bullet"/>
              <w:numPr>
                <w:ilvl w:val="0"/>
                <w:numId w:val="41"/>
              </w:numPr>
            </w:pPr>
            <w:r w:rsidRPr="00EB3108">
              <w:t>raise an actual, potential or perceived conflict of interest such as</w:t>
            </w:r>
            <w:r>
              <w:t xml:space="preserve"> an offer from</w:t>
            </w:r>
            <w:r w:rsidRPr="00EB3108">
              <w:t xml:space="preserve"> a </w:t>
            </w:r>
            <w:hyperlink w:anchor="_Terms_used_in" w:history="1">
              <w:r w:rsidRPr="00EB3108">
                <w:rPr>
                  <w:rStyle w:val="Hyperlink"/>
                  <w:rFonts w:asciiTheme="minorHAnsi" w:hAnsiTheme="minorHAnsi" w:cs="Calibri"/>
                  <w:szCs w:val="22"/>
                </w:rPr>
                <w:t>business associate</w:t>
              </w:r>
            </w:hyperlink>
          </w:p>
          <w:p w14:paraId="1D03165E" w14:textId="77777777" w:rsidR="00F946DA" w:rsidRPr="00EB3108" w:rsidRDefault="00F946DA" w:rsidP="00F946DA">
            <w:pPr>
              <w:pStyle w:val="Bullet"/>
              <w:numPr>
                <w:ilvl w:val="0"/>
                <w:numId w:val="41"/>
              </w:numPr>
            </w:pPr>
            <w:r w:rsidRPr="00EB3108">
              <w:t>extend to your relatives or friends</w:t>
            </w:r>
          </w:p>
          <w:p w14:paraId="1A7DDEA1" w14:textId="77777777" w:rsidR="00F946DA" w:rsidRPr="00EB3108" w:rsidRDefault="00F946DA" w:rsidP="00F946DA">
            <w:pPr>
              <w:pStyle w:val="Bullet"/>
              <w:numPr>
                <w:ilvl w:val="0"/>
                <w:numId w:val="41"/>
              </w:numPr>
            </w:pPr>
            <w:r w:rsidRPr="00EB3108">
              <w:t xml:space="preserve">have no </w:t>
            </w:r>
            <w:hyperlink w:anchor="_Terms_used_in" w:history="1">
              <w:r w:rsidRPr="00EB3108">
                <w:rPr>
                  <w:rStyle w:val="Hyperlink"/>
                  <w:rFonts w:asciiTheme="minorHAnsi" w:hAnsiTheme="minorHAnsi" w:cs="Calibri"/>
                  <w:szCs w:val="22"/>
                </w:rPr>
                <w:t>legitimate business reason</w:t>
              </w:r>
            </w:hyperlink>
            <w:r w:rsidRPr="00EB3108">
              <w:t xml:space="preserve"> (if the offer is $50 or more)</w:t>
            </w:r>
          </w:p>
          <w:p w14:paraId="69D28F17" w14:textId="77777777" w:rsidR="00F946DA" w:rsidRPr="00EB3108" w:rsidRDefault="00F946DA" w:rsidP="00F946DA">
            <w:pPr>
              <w:pStyle w:val="Bullet"/>
              <w:numPr>
                <w:ilvl w:val="0"/>
                <w:numId w:val="41"/>
              </w:numPr>
            </w:pPr>
            <w:r w:rsidRPr="00EB3108">
              <w:t>are money or similar, such as vouchers, or easily converted into money</w:t>
            </w:r>
          </w:p>
          <w:p w14:paraId="4DC865EF" w14:textId="77777777" w:rsidR="00F946DA" w:rsidRPr="00EB3108" w:rsidRDefault="00F946DA" w:rsidP="00F946DA">
            <w:pPr>
              <w:pStyle w:val="Bullet"/>
              <w:numPr>
                <w:ilvl w:val="0"/>
                <w:numId w:val="41"/>
              </w:numPr>
            </w:pPr>
            <w:r w:rsidRPr="00EB3108">
              <w:t>pay for flights, accommodation or any other perks when offered other than by a conference organiser to compensate for you presenting at a conference</w:t>
            </w:r>
          </w:p>
          <w:p w14:paraId="1BFB4FFA" w14:textId="77777777" w:rsidR="00F946DA" w:rsidRDefault="00F946DA" w:rsidP="00F946DA">
            <w:pPr>
              <w:pStyle w:val="Bullet"/>
              <w:numPr>
                <w:ilvl w:val="0"/>
                <w:numId w:val="41"/>
              </w:numPr>
            </w:pPr>
            <w:r w:rsidRPr="00EB3108">
              <w:t>could bring your integrity, or that of the department, into disrepute</w:t>
            </w:r>
            <w:r w:rsidRPr="00EB3108">
              <w:rPr>
                <w:rStyle w:val="Hyperlink"/>
                <w:rFonts w:asciiTheme="minorHAnsi" w:hAnsiTheme="minorHAnsi" w:cs="Calibri"/>
                <w:color w:val="auto"/>
                <w:szCs w:val="22"/>
                <w:u w:val="none"/>
              </w:rPr>
              <w:t>.</w:t>
            </w:r>
            <w:r w:rsidRPr="00EB3108">
              <w:t xml:space="preserve"> </w:t>
            </w:r>
          </w:p>
          <w:p w14:paraId="476DCD98" w14:textId="042A6E7F" w:rsidR="00EB3108" w:rsidRDefault="00EB3108" w:rsidP="008A6E28">
            <w:pPr>
              <w:pStyle w:val="Bullet"/>
              <w:numPr>
                <w:ilvl w:val="0"/>
                <w:numId w:val="26"/>
              </w:numPr>
            </w:pPr>
            <w:r w:rsidRPr="00EB3108">
              <w:t>You can accept:</w:t>
            </w:r>
          </w:p>
          <w:p w14:paraId="56DC7B3B" w14:textId="77777777" w:rsidR="00F946DA" w:rsidRPr="00EB3108" w:rsidRDefault="00E40A74" w:rsidP="00F946DA">
            <w:pPr>
              <w:pStyle w:val="Bullet"/>
              <w:numPr>
                <w:ilvl w:val="0"/>
                <w:numId w:val="42"/>
              </w:numPr>
            </w:pPr>
            <w:hyperlink w:anchor="_Terms_used_in" w:history="1">
              <w:r w:rsidR="00F946DA" w:rsidRPr="00EB3108">
                <w:rPr>
                  <w:rStyle w:val="Hyperlink"/>
                  <w:rFonts w:asciiTheme="minorHAnsi" w:hAnsiTheme="minorHAnsi"/>
                </w:rPr>
                <w:t>token gift offers</w:t>
              </w:r>
            </w:hyperlink>
            <w:r w:rsidR="00F946DA" w:rsidRPr="00EB3108">
              <w:t xml:space="preserve"> which do not amount to a conflict of interest</w:t>
            </w:r>
          </w:p>
          <w:p w14:paraId="63706B5C" w14:textId="77777777" w:rsidR="00F946DA" w:rsidRPr="00EB3108" w:rsidRDefault="00F946DA" w:rsidP="00F946DA">
            <w:pPr>
              <w:pStyle w:val="Bullet"/>
              <w:numPr>
                <w:ilvl w:val="0"/>
                <w:numId w:val="42"/>
              </w:numPr>
            </w:pPr>
            <w:r w:rsidRPr="00EB3108">
              <w:t>gifts offered as part of culture and practice of communities such as from an overseas delegation</w:t>
            </w:r>
          </w:p>
          <w:p w14:paraId="6AD39BF6" w14:textId="77777777" w:rsidR="00F946DA" w:rsidRPr="00EB3108" w:rsidRDefault="00F946DA" w:rsidP="00F946DA">
            <w:pPr>
              <w:pStyle w:val="Bullet"/>
              <w:numPr>
                <w:ilvl w:val="0"/>
                <w:numId w:val="42"/>
              </w:numPr>
              <w:rPr>
                <w:rFonts w:eastAsia="Calibri"/>
              </w:rPr>
            </w:pPr>
            <w:r w:rsidRPr="00EB3108">
              <w:t>thank you gifts such as a small gift to a speaker at a conference and seminar</w:t>
            </w:r>
          </w:p>
          <w:p w14:paraId="531309A7" w14:textId="77777777" w:rsidR="00F946DA" w:rsidRPr="00EB3108" w:rsidRDefault="00F946DA" w:rsidP="00F946DA">
            <w:pPr>
              <w:pStyle w:val="Bullet"/>
              <w:numPr>
                <w:ilvl w:val="0"/>
                <w:numId w:val="42"/>
              </w:numPr>
              <w:rPr>
                <w:rFonts w:eastAsia="Calibri"/>
              </w:rPr>
            </w:pPr>
            <w:r w:rsidRPr="00EB3108">
              <w:t>tickets to conferences and seminars approved in advance, where the conference organiser offers to fund travel and accommodation costs for an employee to present a paper at the conference</w:t>
            </w:r>
          </w:p>
          <w:p w14:paraId="1C662B0E" w14:textId="77777777" w:rsidR="00F946DA" w:rsidRPr="00EB3108" w:rsidRDefault="00F946DA" w:rsidP="00F946DA">
            <w:pPr>
              <w:pStyle w:val="Bullet"/>
              <w:numPr>
                <w:ilvl w:val="0"/>
                <w:numId w:val="42"/>
              </w:numPr>
              <w:rPr>
                <w:rStyle w:val="Hyperlink"/>
                <w:rFonts w:asciiTheme="minorHAnsi" w:hAnsiTheme="minorHAnsi" w:cs="Calibri"/>
                <w:color w:val="auto"/>
                <w:szCs w:val="22"/>
                <w:u w:val="none"/>
              </w:rPr>
            </w:pPr>
            <w:r w:rsidRPr="00EB3108">
              <w:t xml:space="preserve">gifts when there are </w:t>
            </w:r>
            <w:r>
              <w:t>legitimate business reasons to accept.</w:t>
            </w:r>
          </w:p>
          <w:p w14:paraId="656FD2EF" w14:textId="77777777" w:rsidR="0074011A" w:rsidRPr="00EB3108" w:rsidRDefault="0074011A" w:rsidP="00443AE3">
            <w:pPr>
              <w:pStyle w:val="Heading2"/>
              <w:spacing w:before="60" w:after="60" w:line="240" w:lineRule="auto"/>
              <w:rPr>
                <w:rStyle w:val="Hyperlink"/>
                <w:rFonts w:asciiTheme="minorHAnsi" w:hAnsiTheme="minorHAnsi"/>
                <w:color w:val="228591"/>
                <w:u w:val="none"/>
              </w:rPr>
            </w:pPr>
            <w:r w:rsidRPr="00EB3108">
              <w:rPr>
                <w:rFonts w:asciiTheme="minorHAnsi" w:hAnsiTheme="minorHAnsi"/>
              </w:rPr>
              <w:t>Disclosing and reporting of gifts, benefits and hospitality</w:t>
            </w:r>
          </w:p>
          <w:p w14:paraId="0AE6A81E" w14:textId="026BD6E0" w:rsidR="00EB3108" w:rsidRDefault="00EB3108" w:rsidP="008A6E28">
            <w:pPr>
              <w:pStyle w:val="Bullet"/>
              <w:numPr>
                <w:ilvl w:val="0"/>
                <w:numId w:val="26"/>
              </w:numPr>
            </w:pPr>
            <w:r w:rsidRPr="00EB3108">
              <w:t xml:space="preserve">You must disclose all </w:t>
            </w:r>
            <w:hyperlink w:anchor="_Terms_used_in" w:history="1">
              <w:r w:rsidRPr="00443AE3">
                <w:rPr>
                  <w:rStyle w:val="Hyperlink"/>
                  <w:rFonts w:asciiTheme="minorHAnsi" w:hAnsiTheme="minorHAnsi"/>
                </w:rPr>
                <w:t>reportable (non-token) gifts</w:t>
              </w:r>
            </w:hyperlink>
            <w:r w:rsidRPr="00EB3108">
              <w:t xml:space="preserve"> by completing a </w:t>
            </w:r>
            <w:r w:rsidR="00102293">
              <w:t>g</w:t>
            </w:r>
            <w:r w:rsidRPr="00EB3108">
              <w:t xml:space="preserve">ifts, </w:t>
            </w:r>
            <w:r w:rsidR="00102293">
              <w:t>b</w:t>
            </w:r>
            <w:r w:rsidRPr="00EB3108">
              <w:t xml:space="preserve">enefits and </w:t>
            </w:r>
            <w:r w:rsidR="00102293">
              <w:t>hospitality declaration f</w:t>
            </w:r>
            <w:r w:rsidRPr="00EB3108">
              <w:t>orm within 14 days of the offer, even if the offer is declined.</w:t>
            </w:r>
          </w:p>
          <w:p w14:paraId="4DCC3607" w14:textId="6199365B" w:rsidR="00EB3108" w:rsidRDefault="00EB3108" w:rsidP="008A6E28">
            <w:pPr>
              <w:pStyle w:val="Bullet"/>
              <w:numPr>
                <w:ilvl w:val="0"/>
                <w:numId w:val="26"/>
              </w:numPr>
            </w:pPr>
            <w:r w:rsidRPr="00EB3108">
              <w:t xml:space="preserve">You do not have to disclose if you have received a business as usual benefit, either </w:t>
            </w:r>
            <w:hyperlink w:anchor="_Terms_used_in" w:history="1">
              <w:r w:rsidRPr="00443AE3">
                <w:rPr>
                  <w:rStyle w:val="Hyperlink"/>
                  <w:rFonts w:asciiTheme="minorHAnsi" w:hAnsiTheme="minorHAnsi"/>
                </w:rPr>
                <w:t>sustenance</w:t>
              </w:r>
            </w:hyperlink>
            <w:r w:rsidRPr="00EB3108">
              <w:t xml:space="preserve"> or an invitation to an </w:t>
            </w:r>
            <w:hyperlink w:anchor="_Terms_used_in" w:history="1">
              <w:r w:rsidRPr="00443AE3">
                <w:rPr>
                  <w:rStyle w:val="Hyperlink"/>
                  <w:rFonts w:asciiTheme="minorHAnsi" w:hAnsiTheme="minorHAnsi"/>
                </w:rPr>
                <w:t>official business event</w:t>
              </w:r>
            </w:hyperlink>
            <w:r w:rsidRPr="00443AE3">
              <w:rPr>
                <w:rStyle w:val="Hyperlink"/>
                <w:rFonts w:asciiTheme="minorHAnsi" w:hAnsiTheme="minorHAnsi"/>
              </w:rPr>
              <w:t>,</w:t>
            </w:r>
            <w:r w:rsidRPr="00EB3108">
              <w:t xml:space="preserve"> but you will need to submit an official business event attendance form. </w:t>
            </w:r>
            <w:r w:rsidRPr="00443AE3">
              <w:rPr>
                <w:b/>
              </w:rPr>
              <w:t>Refer to</w:t>
            </w:r>
            <w:r w:rsidRPr="00EB3108">
              <w:t>: Official business events policy for more information.</w:t>
            </w:r>
          </w:p>
          <w:p w14:paraId="2E418E0D" w14:textId="436ACEF2" w:rsidR="00EB3108" w:rsidRDefault="00EB3108" w:rsidP="008A6E28">
            <w:pPr>
              <w:pStyle w:val="Bullet"/>
              <w:numPr>
                <w:ilvl w:val="0"/>
                <w:numId w:val="26"/>
              </w:numPr>
            </w:pPr>
            <w:r w:rsidRPr="00EB3108">
              <w:t xml:space="preserve">You are to report any attempted </w:t>
            </w:r>
            <w:hyperlink w:anchor="_Terms_used_in" w:history="1">
              <w:r w:rsidRPr="00443AE3">
                <w:rPr>
                  <w:rStyle w:val="Hyperlink"/>
                  <w:rFonts w:asciiTheme="minorHAnsi" w:hAnsiTheme="minorHAnsi"/>
                </w:rPr>
                <w:t>bribes</w:t>
              </w:r>
            </w:hyperlink>
            <w:r w:rsidRPr="00EB3108">
              <w:t xml:space="preserve"> to the Protected Disclosure Coordinator (who reports criminal or corrupt conduct to Victoria Police or Independent Broad-based Anti-corruption Commission).</w:t>
            </w:r>
          </w:p>
          <w:p w14:paraId="0E0DE901" w14:textId="77777777" w:rsidR="00EB3C55" w:rsidRPr="00EB3108" w:rsidRDefault="00EB3C55" w:rsidP="00EB3C55">
            <w:pPr>
              <w:pStyle w:val="Heading2"/>
              <w:spacing w:before="60" w:after="60" w:line="240" w:lineRule="auto"/>
              <w:rPr>
                <w:rStyle w:val="Hyperlink"/>
                <w:rFonts w:asciiTheme="minorHAnsi" w:hAnsiTheme="minorHAnsi"/>
                <w:color w:val="228591"/>
                <w:u w:val="none"/>
              </w:rPr>
            </w:pPr>
            <w:r w:rsidRPr="00EB3108">
              <w:rPr>
                <w:rFonts w:asciiTheme="minorHAnsi" w:hAnsiTheme="minorHAnsi"/>
              </w:rPr>
              <w:t>Offering – managing the provision of gifts, benefits and hospitality</w:t>
            </w:r>
          </w:p>
          <w:p w14:paraId="469B33B7" w14:textId="20772C8A" w:rsidR="00EB3108" w:rsidRPr="00EB3108" w:rsidRDefault="00EB3108" w:rsidP="008A6E28">
            <w:pPr>
              <w:pStyle w:val="Bullet"/>
              <w:numPr>
                <w:ilvl w:val="0"/>
                <w:numId w:val="26"/>
              </w:numPr>
            </w:pPr>
            <w:r w:rsidRPr="00EB3108">
              <w:t>You should avoid making offers of gifts, benefits and hospitality unless:</w:t>
            </w:r>
          </w:p>
          <w:p w14:paraId="4B1BCBAC" w14:textId="77777777" w:rsidR="00EB3108" w:rsidRPr="00EB3108" w:rsidRDefault="00EB3108" w:rsidP="00CB3677">
            <w:pPr>
              <w:pStyle w:val="Bullet"/>
              <w:numPr>
                <w:ilvl w:val="0"/>
                <w:numId w:val="43"/>
              </w:numPr>
            </w:pPr>
            <w:r w:rsidRPr="00EB3108">
              <w:t>there is a legitimate business reason to further the conduct of official business or other legitimate organisational goals, or promotes and supports government policy objectives and priorities</w:t>
            </w:r>
          </w:p>
          <w:p w14:paraId="0461574F" w14:textId="77777777" w:rsidR="00EB3108" w:rsidRPr="00EB3108" w:rsidRDefault="00EB3108" w:rsidP="00CB3677">
            <w:pPr>
              <w:pStyle w:val="Bullet"/>
              <w:numPr>
                <w:ilvl w:val="0"/>
                <w:numId w:val="43"/>
              </w:numPr>
            </w:pPr>
            <w:r w:rsidRPr="00EB3108">
              <w:t>it does not raise an actual, potential or perceived conflict of interest</w:t>
            </w:r>
          </w:p>
          <w:p w14:paraId="10A83443" w14:textId="18298BB7" w:rsidR="008A6E28" w:rsidRPr="00257180" w:rsidRDefault="00EB3108" w:rsidP="00CB3677">
            <w:pPr>
              <w:pStyle w:val="Bullet"/>
              <w:numPr>
                <w:ilvl w:val="0"/>
                <w:numId w:val="43"/>
              </w:numPr>
              <w:rPr>
                <w:lang w:val="en-US"/>
              </w:rPr>
            </w:pPr>
            <w:r w:rsidRPr="00EB3108">
              <w:t>any costs are proportionate to the benefits obtained for the State, and would be considered reasonable in terms of community expectations.</w:t>
            </w:r>
            <w:r w:rsidR="008A6E28" w:rsidRPr="00257180">
              <w:rPr>
                <w:rFonts w:asciiTheme="minorHAnsi" w:hAnsiTheme="minorHAnsi" w:cs="Calibri"/>
                <w:szCs w:val="22"/>
              </w:rPr>
              <w:t xml:space="preserve"> </w:t>
            </w:r>
          </w:p>
        </w:tc>
      </w:tr>
    </w:tbl>
    <w:p w14:paraId="10A83445" w14:textId="77777777" w:rsidR="00733F1E" w:rsidRPr="00EB3108" w:rsidRDefault="00733F1E" w:rsidP="00EB3108">
      <w:pPr>
        <w:pStyle w:val="Body"/>
        <w:spacing w:before="60" w:after="60" w:line="276" w:lineRule="auto"/>
        <w:rPr>
          <w:rFonts w:asciiTheme="minorHAnsi" w:hAnsiTheme="minorHAnsi"/>
        </w:rPr>
      </w:pPr>
      <w:r w:rsidRPr="00EB3108">
        <w:rPr>
          <w:rFonts w:asciiTheme="minorHAnsi" w:hAnsiTheme="minorHAnsi"/>
          <w:b/>
        </w:rPr>
        <w:t>Note</w:t>
      </w:r>
      <w:r w:rsidRPr="00EB3108">
        <w:rPr>
          <w:rFonts w:asciiTheme="minorHAnsi" w:hAnsiTheme="minorHAnsi"/>
        </w:rPr>
        <w:t>: The source of authority for this policy can be found in the Policy Register.</w:t>
      </w:r>
    </w:p>
    <w:p w14:paraId="2AA90BB2" w14:textId="7CB81B31" w:rsidR="00257180" w:rsidRDefault="004C0780" w:rsidP="004C0780">
      <w:pPr>
        <w:tabs>
          <w:tab w:val="left" w:pos="1035"/>
        </w:tabs>
        <w:spacing w:before="60" w:after="60" w:line="276" w:lineRule="auto"/>
        <w:outlineLvl w:val="0"/>
        <w:rPr>
          <w:rFonts w:asciiTheme="minorHAnsi" w:eastAsia="Calibri" w:hAnsiTheme="minorHAnsi" w:cs="Arial"/>
          <w:b/>
          <w:color w:val="31849B" w:themeColor="accent5" w:themeShade="BF"/>
          <w:sz w:val="28"/>
          <w:szCs w:val="28"/>
        </w:rPr>
      </w:pPr>
      <w:r>
        <w:rPr>
          <w:rFonts w:asciiTheme="minorHAnsi" w:eastAsia="Calibri" w:hAnsiTheme="minorHAnsi" w:cs="Arial"/>
          <w:b/>
          <w:color w:val="31849B" w:themeColor="accent5" w:themeShade="BF"/>
          <w:sz w:val="28"/>
          <w:szCs w:val="28"/>
        </w:rPr>
        <w:tab/>
      </w:r>
    </w:p>
    <w:p w14:paraId="06A2D5EC" w14:textId="65EF5BFE" w:rsidR="00EB3108" w:rsidRPr="00EB3108" w:rsidRDefault="00EB3108" w:rsidP="00EB3108">
      <w:pPr>
        <w:spacing w:before="60" w:after="60" w:line="276" w:lineRule="auto"/>
        <w:outlineLvl w:val="0"/>
        <w:rPr>
          <w:rFonts w:asciiTheme="minorHAnsi" w:eastAsia="Calibri" w:hAnsiTheme="minorHAnsi" w:cs="Arial"/>
          <w:b/>
          <w:color w:val="31849B" w:themeColor="accent5" w:themeShade="BF"/>
          <w:sz w:val="28"/>
          <w:szCs w:val="28"/>
        </w:rPr>
      </w:pPr>
      <w:r w:rsidRPr="00EB3108">
        <w:rPr>
          <w:rFonts w:asciiTheme="minorHAnsi" w:eastAsia="Calibri" w:hAnsiTheme="minorHAnsi" w:cs="Arial"/>
          <w:b/>
          <w:color w:val="31849B" w:themeColor="accent5" w:themeShade="BF"/>
          <w:sz w:val="28"/>
          <w:szCs w:val="28"/>
        </w:rPr>
        <w:lastRenderedPageBreak/>
        <w:t>Forms and templates</w:t>
      </w:r>
    </w:p>
    <w:p w14:paraId="2FF56BD8" w14:textId="113296E5" w:rsidR="00EB3108" w:rsidRPr="00EB3108" w:rsidRDefault="002C41A9" w:rsidP="005B0C2D">
      <w:pPr>
        <w:numPr>
          <w:ilvl w:val="0"/>
          <w:numId w:val="40"/>
        </w:numPr>
        <w:spacing w:before="60" w:after="60"/>
        <w:ind w:left="357" w:hanging="357"/>
        <w:rPr>
          <w:rFonts w:asciiTheme="minorHAnsi" w:hAnsiTheme="minorHAnsi"/>
        </w:rPr>
      </w:pPr>
      <w:r>
        <w:rPr>
          <w:rFonts w:asciiTheme="minorHAnsi" w:hAnsiTheme="minorHAnsi"/>
        </w:rPr>
        <w:t>Gifts, b</w:t>
      </w:r>
      <w:r w:rsidR="00EB3108" w:rsidRPr="00EB3108">
        <w:rPr>
          <w:rFonts w:asciiTheme="minorHAnsi" w:hAnsiTheme="minorHAnsi"/>
        </w:rPr>
        <w:t xml:space="preserve">enefit and </w:t>
      </w:r>
      <w:r>
        <w:rPr>
          <w:rFonts w:asciiTheme="minorHAnsi" w:hAnsiTheme="minorHAnsi"/>
        </w:rPr>
        <w:t>h</w:t>
      </w:r>
      <w:r w:rsidR="00EB3108" w:rsidRPr="00EB3108">
        <w:rPr>
          <w:rFonts w:asciiTheme="minorHAnsi" w:hAnsiTheme="minorHAnsi"/>
        </w:rPr>
        <w:t xml:space="preserve">ospitality </w:t>
      </w:r>
      <w:r>
        <w:rPr>
          <w:rFonts w:asciiTheme="minorHAnsi" w:hAnsiTheme="minorHAnsi"/>
        </w:rPr>
        <w:t>d</w:t>
      </w:r>
      <w:r w:rsidR="00EB3108" w:rsidRPr="00EB3108">
        <w:rPr>
          <w:rFonts w:asciiTheme="minorHAnsi" w:hAnsiTheme="minorHAnsi"/>
        </w:rPr>
        <w:t xml:space="preserve">eclaration </w:t>
      </w:r>
      <w:r>
        <w:rPr>
          <w:rFonts w:asciiTheme="minorHAnsi" w:hAnsiTheme="minorHAnsi"/>
        </w:rPr>
        <w:t>f</w:t>
      </w:r>
      <w:r w:rsidR="00EB3108" w:rsidRPr="00EB3108">
        <w:rPr>
          <w:rFonts w:asciiTheme="minorHAnsi" w:hAnsiTheme="minorHAnsi"/>
        </w:rPr>
        <w:t>orm</w:t>
      </w:r>
    </w:p>
    <w:p w14:paraId="7536FE47" w14:textId="488EAC8B" w:rsidR="00EB3108" w:rsidRPr="00EB3108" w:rsidRDefault="00EB3108" w:rsidP="001772E2">
      <w:pPr>
        <w:numPr>
          <w:ilvl w:val="0"/>
          <w:numId w:val="40"/>
        </w:numPr>
        <w:spacing w:before="60" w:after="60"/>
        <w:ind w:left="357" w:hanging="357"/>
        <w:rPr>
          <w:rFonts w:asciiTheme="minorHAnsi" w:hAnsiTheme="minorHAnsi"/>
        </w:rPr>
      </w:pPr>
      <w:r w:rsidRPr="00EB3108">
        <w:rPr>
          <w:rFonts w:asciiTheme="minorHAnsi" w:hAnsiTheme="minorHAnsi"/>
        </w:rPr>
        <w:t xml:space="preserve">Official </w:t>
      </w:r>
      <w:r w:rsidR="002C41A9">
        <w:rPr>
          <w:rFonts w:asciiTheme="minorHAnsi" w:hAnsiTheme="minorHAnsi"/>
        </w:rPr>
        <w:t>business e</w:t>
      </w:r>
      <w:r w:rsidRPr="00EB3108">
        <w:rPr>
          <w:rFonts w:asciiTheme="minorHAnsi" w:hAnsiTheme="minorHAnsi"/>
        </w:rPr>
        <w:t xml:space="preserve">vents </w:t>
      </w:r>
      <w:r w:rsidR="002C41A9">
        <w:rPr>
          <w:rFonts w:asciiTheme="minorHAnsi" w:hAnsiTheme="minorHAnsi"/>
        </w:rPr>
        <w:t>attendance f</w:t>
      </w:r>
      <w:r w:rsidRPr="00EB3108">
        <w:rPr>
          <w:rFonts w:asciiTheme="minorHAnsi" w:hAnsiTheme="minorHAnsi"/>
        </w:rPr>
        <w:t>orm</w:t>
      </w:r>
    </w:p>
    <w:p w14:paraId="59C5EE91" w14:textId="77777777" w:rsidR="00EB3108" w:rsidRPr="00EB3108" w:rsidRDefault="00EB3108" w:rsidP="00F41E92">
      <w:pPr>
        <w:spacing w:before="240" w:line="276" w:lineRule="auto"/>
        <w:outlineLvl w:val="0"/>
        <w:rPr>
          <w:rFonts w:asciiTheme="minorHAnsi" w:eastAsia="Calibri" w:hAnsiTheme="minorHAnsi" w:cs="Arial"/>
          <w:b/>
          <w:color w:val="31849B" w:themeColor="accent5" w:themeShade="BF"/>
          <w:sz w:val="28"/>
          <w:szCs w:val="28"/>
        </w:rPr>
      </w:pPr>
      <w:r w:rsidRPr="00EB3108">
        <w:rPr>
          <w:rFonts w:asciiTheme="minorHAnsi" w:eastAsia="Calibri" w:hAnsiTheme="minorHAnsi" w:cs="Arial"/>
          <w:b/>
          <w:color w:val="31849B" w:themeColor="accent5" w:themeShade="BF"/>
          <w:sz w:val="28"/>
          <w:szCs w:val="28"/>
        </w:rPr>
        <w:t>Contact</w:t>
      </w:r>
    </w:p>
    <w:p w14:paraId="195E056C" w14:textId="77777777" w:rsidR="00EB3108" w:rsidRPr="00EB3108" w:rsidRDefault="00EB3108" w:rsidP="001772E2">
      <w:pPr>
        <w:numPr>
          <w:ilvl w:val="0"/>
          <w:numId w:val="36"/>
        </w:numPr>
        <w:spacing w:before="60" w:after="60"/>
        <w:ind w:left="357" w:hanging="357"/>
        <w:rPr>
          <w:rFonts w:asciiTheme="minorHAnsi" w:hAnsiTheme="minorHAnsi"/>
        </w:rPr>
      </w:pPr>
      <w:r w:rsidRPr="00EB3108">
        <w:rPr>
          <w:rFonts w:asciiTheme="minorHAnsi" w:hAnsiTheme="minorHAnsi"/>
        </w:rPr>
        <w:t>Your line manager</w:t>
      </w:r>
    </w:p>
    <w:p w14:paraId="4702C46B" w14:textId="77777777" w:rsidR="00EB3108" w:rsidRPr="00EB3108" w:rsidRDefault="00EB3108" w:rsidP="001772E2">
      <w:pPr>
        <w:numPr>
          <w:ilvl w:val="0"/>
          <w:numId w:val="36"/>
        </w:numPr>
        <w:spacing w:before="60" w:after="60"/>
        <w:ind w:left="357" w:hanging="357"/>
        <w:rPr>
          <w:rFonts w:asciiTheme="minorHAnsi" w:hAnsiTheme="minorHAnsi"/>
        </w:rPr>
      </w:pPr>
      <w:r w:rsidRPr="00EB3108">
        <w:rPr>
          <w:rFonts w:asciiTheme="minorHAnsi" w:hAnsiTheme="minorHAnsi"/>
        </w:rPr>
        <w:t>Integrity advice service</w:t>
      </w:r>
    </w:p>
    <w:p w14:paraId="503621F3" w14:textId="77777777" w:rsidR="00EB3108" w:rsidRPr="00EB3108" w:rsidRDefault="00EB3108" w:rsidP="00F41E92">
      <w:pPr>
        <w:spacing w:before="60" w:line="276" w:lineRule="auto"/>
        <w:ind w:left="357"/>
        <w:rPr>
          <w:rFonts w:asciiTheme="minorHAnsi" w:hAnsiTheme="minorHAnsi"/>
        </w:rPr>
      </w:pPr>
      <w:r w:rsidRPr="00EB3108">
        <w:rPr>
          <w:rFonts w:asciiTheme="minorHAnsi" w:hAnsiTheme="minorHAnsi"/>
          <w:b/>
        </w:rPr>
        <w:t>Email</w:t>
      </w:r>
      <w:r w:rsidRPr="00EB3108">
        <w:rPr>
          <w:rFonts w:asciiTheme="minorHAnsi" w:hAnsiTheme="minorHAnsi"/>
        </w:rPr>
        <w:t xml:space="preserve">: </w:t>
      </w:r>
      <w:hyperlink r:id="rId13" w:history="1">
        <w:r w:rsidRPr="00EB3108">
          <w:rPr>
            <w:rFonts w:asciiTheme="minorHAnsi" w:eastAsiaTheme="majorEastAsia" w:hAnsiTheme="minorHAnsi"/>
            <w:color w:val="1F497D" w:themeColor="text2"/>
            <w:u w:val="single"/>
          </w:rPr>
          <w:t>integrity@delwp.vic.gov.au</w:t>
        </w:r>
      </w:hyperlink>
    </w:p>
    <w:p w14:paraId="47C14264" w14:textId="77777777" w:rsidR="00EB3108" w:rsidRPr="00EB3108" w:rsidRDefault="00EB3108" w:rsidP="00F41E92">
      <w:pPr>
        <w:spacing w:before="240" w:after="60" w:line="276" w:lineRule="auto"/>
        <w:outlineLvl w:val="0"/>
        <w:rPr>
          <w:rFonts w:asciiTheme="minorHAnsi" w:eastAsia="Calibri" w:hAnsiTheme="minorHAnsi" w:cs="Arial"/>
          <w:b/>
          <w:color w:val="31849B" w:themeColor="accent5" w:themeShade="BF"/>
          <w:sz w:val="28"/>
          <w:szCs w:val="28"/>
        </w:rPr>
      </w:pPr>
      <w:bookmarkStart w:id="5" w:name="_Terms_used_in"/>
      <w:bookmarkEnd w:id="5"/>
      <w:r w:rsidRPr="00EB3108">
        <w:rPr>
          <w:rFonts w:asciiTheme="minorHAnsi" w:eastAsia="Calibri" w:hAnsiTheme="minorHAnsi" w:cs="Arial"/>
          <w:b/>
          <w:color w:val="31849B" w:themeColor="accent5" w:themeShade="BF"/>
          <w:sz w:val="28"/>
          <w:szCs w:val="28"/>
        </w:rPr>
        <w:t>Terms used in this policy</w:t>
      </w:r>
    </w:p>
    <w:p w14:paraId="5C1CCB5F" w14:textId="77777777" w:rsidR="00EB3108" w:rsidRPr="00EB3108" w:rsidRDefault="00EB3108" w:rsidP="00EB3108">
      <w:pPr>
        <w:spacing w:before="60" w:after="60" w:line="276" w:lineRule="auto"/>
        <w:rPr>
          <w:rFonts w:asciiTheme="minorHAnsi" w:hAnsiTheme="minorHAnsi"/>
        </w:rPr>
      </w:pPr>
      <w:r w:rsidRPr="00EB3108">
        <w:rPr>
          <w:rFonts w:asciiTheme="minorHAnsi" w:hAnsiTheme="minorHAnsi"/>
        </w:rPr>
        <w:t>The key terms that are underlined and used throughout this policy are defined here and in the Online Glossary.</w:t>
      </w:r>
    </w:p>
    <w:p w14:paraId="2FDD7B7F" w14:textId="015FD492" w:rsidR="00EB3108" w:rsidRDefault="00EB3108" w:rsidP="00EB3108">
      <w:pPr>
        <w:spacing w:before="60" w:after="60" w:line="276" w:lineRule="auto"/>
        <w:rPr>
          <w:rFonts w:asciiTheme="minorHAnsi" w:hAnsiTheme="minorHAnsi"/>
        </w:rPr>
      </w:pPr>
      <w:r w:rsidRPr="00EB3108">
        <w:rPr>
          <w:rFonts w:asciiTheme="minorHAnsi" w:hAnsiTheme="minorHAnsi"/>
          <w:b/>
        </w:rPr>
        <w:t>Bribe</w:t>
      </w:r>
      <w:r w:rsidRPr="00EB3108">
        <w:rPr>
          <w:rFonts w:asciiTheme="minorHAnsi" w:hAnsiTheme="minorHAnsi"/>
        </w:rPr>
        <w:t>: An inducement such as an offer of money, made with the intention to corruptly influence an employee in the performance of their duties. Bribery of a public official is a criminal offence.</w:t>
      </w:r>
    </w:p>
    <w:p w14:paraId="039E44A3" w14:textId="29C4C494" w:rsidR="00EB3108" w:rsidRDefault="00EB3108" w:rsidP="00EB3108">
      <w:pPr>
        <w:spacing w:before="60" w:after="60" w:line="276" w:lineRule="auto"/>
        <w:rPr>
          <w:rFonts w:asciiTheme="minorHAnsi" w:hAnsiTheme="minorHAnsi"/>
        </w:rPr>
      </w:pPr>
      <w:r w:rsidRPr="00EB3108">
        <w:rPr>
          <w:rFonts w:asciiTheme="minorHAnsi" w:hAnsiTheme="minorHAnsi"/>
          <w:b/>
        </w:rPr>
        <w:t>Business associate</w:t>
      </w:r>
      <w:r w:rsidRPr="00EB3108">
        <w:rPr>
          <w:rFonts w:asciiTheme="minorHAnsi" w:hAnsiTheme="minorHAnsi"/>
        </w:rPr>
        <w:t>: External organisation or individual that the department has established, or is likely to establish, a business relationship with, or who may gain from a business decision of the department, now or in the future.</w:t>
      </w:r>
    </w:p>
    <w:p w14:paraId="69BBD776" w14:textId="77777777" w:rsidR="00EB3108" w:rsidRPr="00EB3108" w:rsidRDefault="00EB3108" w:rsidP="00EB3108">
      <w:pPr>
        <w:spacing w:before="60" w:after="60" w:line="276" w:lineRule="auto"/>
        <w:rPr>
          <w:rFonts w:asciiTheme="minorHAnsi" w:hAnsiTheme="minorHAnsi"/>
        </w:rPr>
      </w:pPr>
      <w:r w:rsidRPr="00EB3108">
        <w:rPr>
          <w:rFonts w:asciiTheme="minorHAnsi" w:hAnsiTheme="minorHAnsi"/>
          <w:b/>
        </w:rPr>
        <w:t>Conflict of interest</w:t>
      </w:r>
      <w:r w:rsidRPr="00EB3108">
        <w:rPr>
          <w:rFonts w:asciiTheme="minorHAnsi" w:hAnsiTheme="minorHAnsi"/>
        </w:rPr>
        <w:t>: A conflict between a person’s public duty as an employee and their private interests (financial or non-financial) or duty to another organisation. A conflict of interest exists whether it is:</w:t>
      </w:r>
    </w:p>
    <w:p w14:paraId="6645B730" w14:textId="77777777" w:rsidR="00EB3108" w:rsidRPr="00EB3108" w:rsidRDefault="00EB3108" w:rsidP="00EB3108">
      <w:pPr>
        <w:numPr>
          <w:ilvl w:val="0"/>
          <w:numId w:val="37"/>
        </w:numPr>
        <w:spacing w:before="60" w:after="60" w:line="276" w:lineRule="auto"/>
        <w:ind w:left="567" w:hanging="357"/>
        <w:rPr>
          <w:rFonts w:asciiTheme="minorHAnsi" w:hAnsiTheme="minorHAnsi"/>
        </w:rPr>
      </w:pPr>
      <w:r w:rsidRPr="00EB3108">
        <w:rPr>
          <w:rFonts w:asciiTheme="minorHAnsi" w:hAnsiTheme="minorHAnsi"/>
        </w:rPr>
        <w:t>real – it currently exists</w:t>
      </w:r>
    </w:p>
    <w:p w14:paraId="1B9186CE" w14:textId="77777777" w:rsidR="00EB3108" w:rsidRPr="00EB3108" w:rsidRDefault="00EB3108" w:rsidP="00EB3108">
      <w:pPr>
        <w:numPr>
          <w:ilvl w:val="0"/>
          <w:numId w:val="37"/>
        </w:numPr>
        <w:spacing w:before="60" w:after="60" w:line="276" w:lineRule="auto"/>
        <w:ind w:left="567" w:hanging="357"/>
        <w:rPr>
          <w:rFonts w:asciiTheme="minorHAnsi" w:hAnsiTheme="minorHAnsi"/>
        </w:rPr>
      </w:pPr>
      <w:r w:rsidRPr="00EB3108">
        <w:rPr>
          <w:rFonts w:asciiTheme="minorHAnsi" w:hAnsiTheme="minorHAnsi"/>
        </w:rPr>
        <w:t>potential – it may arise, given the circumstances</w:t>
      </w:r>
    </w:p>
    <w:p w14:paraId="38ED428F" w14:textId="600DEF12" w:rsidR="00EB3108" w:rsidRDefault="00EB3108" w:rsidP="00EB3108">
      <w:pPr>
        <w:numPr>
          <w:ilvl w:val="0"/>
          <w:numId w:val="37"/>
        </w:numPr>
        <w:spacing w:before="60" w:after="60" w:line="276" w:lineRule="auto"/>
        <w:ind w:left="567" w:hanging="357"/>
        <w:rPr>
          <w:rFonts w:asciiTheme="minorHAnsi" w:hAnsiTheme="minorHAnsi"/>
        </w:rPr>
      </w:pPr>
      <w:r w:rsidRPr="00EB3108">
        <w:rPr>
          <w:rFonts w:asciiTheme="minorHAnsi" w:hAnsiTheme="minorHAnsi"/>
        </w:rPr>
        <w:t>perceived – members of the public could reasonably form the view that a conflict exists, or could arise, that may influence the performance of their duties as an employee, now or in the future.</w:t>
      </w:r>
    </w:p>
    <w:p w14:paraId="71EF633E" w14:textId="101D6E6F" w:rsidR="00EB3108" w:rsidRDefault="00EB3108" w:rsidP="00EB3108">
      <w:pPr>
        <w:spacing w:before="60" w:after="60" w:line="276" w:lineRule="auto"/>
        <w:rPr>
          <w:rFonts w:asciiTheme="minorHAnsi" w:hAnsiTheme="minorHAnsi"/>
        </w:rPr>
      </w:pPr>
      <w:r w:rsidRPr="00EB3108">
        <w:rPr>
          <w:rFonts w:asciiTheme="minorHAnsi" w:hAnsiTheme="minorHAnsi"/>
          <w:b/>
        </w:rPr>
        <w:t>Employees</w:t>
      </w:r>
      <w:r w:rsidRPr="00EB3108">
        <w:rPr>
          <w:rFonts w:asciiTheme="minorHAnsi" w:hAnsiTheme="minorHAnsi"/>
        </w:rPr>
        <w:t>: Employees of the department and other workplace participants such as trainees, university and work experience students, contractors, consultants, agency staff, union delegates, apprentices, cadets, visiting scientists and volunteers who perform work for or on behalf of the department.</w:t>
      </w:r>
    </w:p>
    <w:p w14:paraId="07BF4896" w14:textId="77777777" w:rsidR="00EB3108" w:rsidRPr="00EB3108" w:rsidRDefault="00EB3108" w:rsidP="00EB3108">
      <w:pPr>
        <w:spacing w:before="60" w:after="60" w:line="276" w:lineRule="auto"/>
        <w:rPr>
          <w:rFonts w:asciiTheme="minorHAnsi" w:hAnsiTheme="minorHAnsi"/>
        </w:rPr>
      </w:pPr>
      <w:r w:rsidRPr="00EB3108">
        <w:rPr>
          <w:rFonts w:asciiTheme="minorHAnsi" w:hAnsiTheme="minorHAnsi"/>
          <w:b/>
        </w:rPr>
        <w:t>Gift offer</w:t>
      </w:r>
      <w:r w:rsidRPr="00EB3108">
        <w:rPr>
          <w:rFonts w:asciiTheme="minorHAnsi" w:hAnsiTheme="minorHAnsi"/>
        </w:rPr>
        <w:t xml:space="preserve">: Anything of monetary or other value offered by an external source to an employee or their close relative, friend or associate because of the employee’s role with the department. It includes free or discounted: </w:t>
      </w:r>
    </w:p>
    <w:p w14:paraId="50505285" w14:textId="77777777" w:rsidR="00EB3108" w:rsidRPr="00EB3108" w:rsidRDefault="00EB3108" w:rsidP="00EB3108">
      <w:pPr>
        <w:numPr>
          <w:ilvl w:val="0"/>
          <w:numId w:val="38"/>
        </w:numPr>
        <w:spacing w:before="60" w:after="60" w:line="276" w:lineRule="auto"/>
        <w:ind w:left="567"/>
        <w:rPr>
          <w:rFonts w:asciiTheme="minorHAnsi" w:hAnsiTheme="minorHAnsi"/>
        </w:rPr>
      </w:pPr>
      <w:r w:rsidRPr="00EB3108">
        <w:rPr>
          <w:rFonts w:asciiTheme="minorHAnsi" w:hAnsiTheme="minorHAnsi"/>
        </w:rPr>
        <w:t>items or services – such as food hamper, desk calendar, box of chocolates, door prize, gardening services</w:t>
      </w:r>
    </w:p>
    <w:p w14:paraId="347AA2B7" w14:textId="77777777" w:rsidR="00EB3108" w:rsidRPr="00EB3108" w:rsidRDefault="00EB3108" w:rsidP="00EB3108">
      <w:pPr>
        <w:numPr>
          <w:ilvl w:val="0"/>
          <w:numId w:val="38"/>
        </w:numPr>
        <w:spacing w:before="60" w:after="60" w:line="276" w:lineRule="auto"/>
        <w:ind w:left="567"/>
        <w:rPr>
          <w:rFonts w:asciiTheme="minorHAnsi" w:hAnsiTheme="minorHAnsi"/>
        </w:rPr>
      </w:pPr>
      <w:r w:rsidRPr="00EB3108">
        <w:rPr>
          <w:rFonts w:asciiTheme="minorHAnsi" w:hAnsiTheme="minorHAnsi"/>
        </w:rPr>
        <w:t>benefits – preferential treatment, privileged access, favours or other intangibles such as a discount gym membership or the promise of a new job</w:t>
      </w:r>
    </w:p>
    <w:p w14:paraId="5FC11D9F" w14:textId="77777777" w:rsidR="00EB3108" w:rsidRPr="00EB3108" w:rsidRDefault="00EB3108" w:rsidP="00EB3108">
      <w:pPr>
        <w:numPr>
          <w:ilvl w:val="0"/>
          <w:numId w:val="38"/>
        </w:numPr>
        <w:spacing w:before="60" w:after="60" w:line="276" w:lineRule="auto"/>
        <w:ind w:left="567" w:hanging="357"/>
        <w:rPr>
          <w:rFonts w:asciiTheme="minorHAnsi" w:hAnsiTheme="minorHAnsi"/>
        </w:rPr>
      </w:pPr>
      <w:r w:rsidRPr="00EB3108">
        <w:rPr>
          <w:rFonts w:asciiTheme="minorHAnsi" w:hAnsiTheme="minorHAnsi"/>
        </w:rPr>
        <w:t xml:space="preserve">hospitality – the friendly reception and treatment of guests. It includes offers of food, drink, travel, accommodation, events and activities such as sporting, social, industry, arts, entertainment. </w:t>
      </w:r>
    </w:p>
    <w:p w14:paraId="115D1A9B" w14:textId="77777777" w:rsidR="00EB3108" w:rsidRDefault="00EB3108" w:rsidP="00EB3108">
      <w:pPr>
        <w:spacing w:before="60" w:after="60" w:line="276" w:lineRule="auto"/>
        <w:rPr>
          <w:rFonts w:asciiTheme="minorHAnsi" w:hAnsiTheme="minorHAnsi"/>
        </w:rPr>
      </w:pPr>
      <w:r w:rsidRPr="00EB3108">
        <w:rPr>
          <w:rFonts w:asciiTheme="minorHAnsi" w:hAnsiTheme="minorHAnsi"/>
        </w:rPr>
        <w:t xml:space="preserve">Depending on its value, a gift offer is token or reportable. </w:t>
      </w:r>
    </w:p>
    <w:p w14:paraId="06F6BB33" w14:textId="77777777" w:rsidR="00EB3108" w:rsidRDefault="00EB3108" w:rsidP="00EB3108">
      <w:pPr>
        <w:spacing w:before="60" w:after="60" w:line="276" w:lineRule="auto"/>
        <w:rPr>
          <w:rFonts w:asciiTheme="minorHAnsi" w:hAnsiTheme="minorHAnsi"/>
        </w:rPr>
      </w:pPr>
      <w:r w:rsidRPr="00EB3108">
        <w:rPr>
          <w:rFonts w:asciiTheme="minorHAnsi" w:hAnsiTheme="minorHAnsi"/>
        </w:rPr>
        <w:t xml:space="preserve">Where an employee is offered hospitality that qualifies as sustenance or an official business event it is not a gift offer. </w:t>
      </w:r>
    </w:p>
    <w:p w14:paraId="75A2665B" w14:textId="79C14811" w:rsidR="00EB3108" w:rsidRPr="00EB3108" w:rsidRDefault="00EB3108" w:rsidP="00EB3108">
      <w:pPr>
        <w:spacing w:before="60" w:after="60" w:line="276" w:lineRule="auto"/>
        <w:rPr>
          <w:rFonts w:asciiTheme="minorHAnsi" w:hAnsiTheme="minorHAnsi"/>
        </w:rPr>
      </w:pPr>
      <w:r w:rsidRPr="00EB3108">
        <w:rPr>
          <w:rFonts w:asciiTheme="minorHAnsi" w:hAnsiTheme="minorHAnsi"/>
        </w:rPr>
        <w:t>A generic bulk offer, such as via spam email, is not a gift offer unless it is accepted.</w:t>
      </w:r>
    </w:p>
    <w:p w14:paraId="723DB049" w14:textId="3C11393A" w:rsidR="00EB3108" w:rsidRPr="00EB3108" w:rsidRDefault="00EB3108" w:rsidP="00EB3108">
      <w:pPr>
        <w:spacing w:before="60" w:after="60" w:line="276" w:lineRule="auto"/>
        <w:rPr>
          <w:rFonts w:asciiTheme="minorHAnsi" w:hAnsiTheme="minorHAnsi"/>
        </w:rPr>
      </w:pPr>
      <w:r w:rsidRPr="00EB3108">
        <w:rPr>
          <w:rFonts w:asciiTheme="minorHAnsi" w:hAnsiTheme="minorHAnsi"/>
          <w:b/>
        </w:rPr>
        <w:lastRenderedPageBreak/>
        <w:t>Legitimate business reason</w:t>
      </w:r>
      <w:r w:rsidRPr="00EB3108">
        <w:rPr>
          <w:rFonts w:asciiTheme="minorHAnsi" w:hAnsiTheme="minorHAnsi"/>
        </w:rPr>
        <w:t>: A business purpose that furthers the official business or other legitimate goals of the agency, public sector or State.</w:t>
      </w:r>
    </w:p>
    <w:p w14:paraId="43A0CAD8" w14:textId="094B5470" w:rsidR="00EB3108" w:rsidRPr="00EB3108" w:rsidRDefault="00EB3108" w:rsidP="00EB3108">
      <w:pPr>
        <w:spacing w:before="60" w:after="60" w:line="276" w:lineRule="auto"/>
        <w:rPr>
          <w:rFonts w:asciiTheme="minorHAnsi" w:hAnsiTheme="minorHAnsi"/>
        </w:rPr>
      </w:pPr>
      <w:r w:rsidRPr="00EB3108">
        <w:rPr>
          <w:rFonts w:asciiTheme="minorHAnsi" w:hAnsiTheme="minorHAnsi"/>
          <w:b/>
        </w:rPr>
        <w:t>Official business event</w:t>
      </w:r>
      <w:r w:rsidRPr="00EB3108">
        <w:rPr>
          <w:rFonts w:asciiTheme="minorHAnsi" w:hAnsiTheme="minorHAnsi"/>
        </w:rPr>
        <w:t>:</w:t>
      </w:r>
      <w:r w:rsidRPr="00EB3108">
        <w:rPr>
          <w:rFonts w:asciiTheme="minorHAnsi" w:hAnsiTheme="minorHAnsi"/>
        </w:rPr>
        <w:tab/>
        <w:t>When an employee is invited to an event that it is in the public interest for t</w:t>
      </w:r>
      <w:r w:rsidR="008A6E28">
        <w:rPr>
          <w:rFonts w:asciiTheme="minorHAnsi" w:hAnsiTheme="minorHAnsi"/>
        </w:rPr>
        <w:t xml:space="preserve">hem to attend such as events hosted by other government agencies, engagement with community or industry stakeholders or maintaining sector or professional knowledge. </w:t>
      </w:r>
    </w:p>
    <w:p w14:paraId="0A9290B8" w14:textId="25EB8D25" w:rsidR="00EB3108" w:rsidRPr="00EB3108" w:rsidRDefault="00EB3108" w:rsidP="00EB3108">
      <w:pPr>
        <w:spacing w:before="60" w:after="60" w:line="276" w:lineRule="auto"/>
        <w:rPr>
          <w:rFonts w:asciiTheme="minorHAnsi" w:hAnsiTheme="minorHAnsi"/>
        </w:rPr>
      </w:pPr>
      <w:r w:rsidRPr="00EB3108">
        <w:rPr>
          <w:rFonts w:asciiTheme="minorHAnsi" w:hAnsiTheme="minorHAnsi"/>
          <w:b/>
        </w:rPr>
        <w:t>Reportable (non-token) gift offer</w:t>
      </w:r>
      <w:r w:rsidRPr="00EB3108">
        <w:rPr>
          <w:rFonts w:asciiTheme="minorHAnsi" w:hAnsiTheme="minorHAnsi"/>
        </w:rPr>
        <w:t>: Gift offer with an estimated value of $50 or greater, or is of cultural, historic or other significance such as a ceremonial gift.</w:t>
      </w:r>
    </w:p>
    <w:p w14:paraId="33C6AAED" w14:textId="10CA6D17" w:rsidR="00EB3108" w:rsidRPr="00EB3108" w:rsidRDefault="00EB3108" w:rsidP="00EB3108">
      <w:pPr>
        <w:spacing w:before="60" w:after="60" w:line="276" w:lineRule="auto"/>
        <w:rPr>
          <w:rFonts w:asciiTheme="minorHAnsi" w:hAnsiTheme="minorHAnsi"/>
        </w:rPr>
      </w:pPr>
      <w:bookmarkStart w:id="6" w:name="_Hlk520204923"/>
      <w:r w:rsidRPr="00EB3108">
        <w:rPr>
          <w:rFonts w:asciiTheme="minorHAnsi" w:hAnsiTheme="minorHAnsi"/>
          <w:b/>
        </w:rPr>
        <w:t>Sustenance</w:t>
      </w:r>
      <w:r w:rsidRPr="00EB3108">
        <w:rPr>
          <w:rFonts w:asciiTheme="minorHAnsi" w:hAnsiTheme="minorHAnsi"/>
        </w:rPr>
        <w:t>: Food and drink that does not exceed common courtesy</w:t>
      </w:r>
      <w:r w:rsidR="002B2466">
        <w:rPr>
          <w:rFonts w:asciiTheme="minorHAnsi" w:hAnsiTheme="minorHAnsi"/>
        </w:rPr>
        <w:t xml:space="preserve"> and </w:t>
      </w:r>
      <w:r w:rsidR="008A6E28">
        <w:rPr>
          <w:rFonts w:asciiTheme="minorHAnsi" w:hAnsiTheme="minorHAnsi"/>
        </w:rPr>
        <w:t xml:space="preserve">is </w:t>
      </w:r>
      <w:r w:rsidR="002B2466">
        <w:rPr>
          <w:rFonts w:asciiTheme="minorHAnsi" w:hAnsiTheme="minorHAnsi"/>
        </w:rPr>
        <w:t>o</w:t>
      </w:r>
      <w:r w:rsidRPr="00EB3108">
        <w:rPr>
          <w:rFonts w:asciiTheme="minorHAnsi" w:hAnsiTheme="minorHAnsi"/>
        </w:rPr>
        <w:t>ffered while</w:t>
      </w:r>
      <w:r w:rsidR="008A6E28">
        <w:rPr>
          <w:rFonts w:asciiTheme="minorHAnsi" w:hAnsiTheme="minorHAnsi"/>
        </w:rPr>
        <w:t xml:space="preserve"> </w:t>
      </w:r>
      <w:r w:rsidR="001772E2" w:rsidRPr="00EB3108">
        <w:rPr>
          <w:rFonts w:asciiTheme="minorHAnsi" w:hAnsiTheme="minorHAnsi"/>
        </w:rPr>
        <w:t xml:space="preserve">performing </w:t>
      </w:r>
      <w:r w:rsidR="001772E2">
        <w:rPr>
          <w:rFonts w:asciiTheme="minorHAnsi" w:hAnsiTheme="minorHAnsi"/>
        </w:rPr>
        <w:t>official</w:t>
      </w:r>
      <w:r w:rsidR="008A6E28">
        <w:rPr>
          <w:rFonts w:asciiTheme="minorHAnsi" w:hAnsiTheme="minorHAnsi"/>
        </w:rPr>
        <w:t xml:space="preserve"> duties</w:t>
      </w:r>
      <w:r w:rsidRPr="00EB3108">
        <w:rPr>
          <w:rFonts w:asciiTheme="minorHAnsi" w:hAnsiTheme="minorHAnsi"/>
        </w:rPr>
        <w:t xml:space="preserve"> at </w:t>
      </w:r>
      <w:r w:rsidR="008A6E28">
        <w:rPr>
          <w:rFonts w:asciiTheme="minorHAnsi" w:hAnsiTheme="minorHAnsi"/>
        </w:rPr>
        <w:t>an</w:t>
      </w:r>
      <w:r w:rsidRPr="00EB3108">
        <w:rPr>
          <w:rFonts w:asciiTheme="minorHAnsi" w:hAnsiTheme="minorHAnsi"/>
        </w:rPr>
        <w:t>other organisation’s or individual’s work premises such as coffee and sandwiches at a business meeting.</w:t>
      </w:r>
      <w:r w:rsidR="002B2466">
        <w:rPr>
          <w:rFonts w:asciiTheme="minorHAnsi" w:hAnsiTheme="minorHAnsi"/>
        </w:rPr>
        <w:t xml:space="preserve"> If you are unsure if the event exceeds sustenance, talk to your line manager.</w:t>
      </w:r>
    </w:p>
    <w:bookmarkEnd w:id="6"/>
    <w:p w14:paraId="679815E5" w14:textId="7127EEB1" w:rsidR="00EB3108" w:rsidRPr="00EB3108" w:rsidRDefault="00EB3108" w:rsidP="00EB3108">
      <w:pPr>
        <w:spacing w:before="60" w:after="60" w:line="276" w:lineRule="auto"/>
        <w:rPr>
          <w:rFonts w:asciiTheme="minorHAnsi" w:hAnsiTheme="minorHAnsi"/>
        </w:rPr>
      </w:pPr>
      <w:r w:rsidRPr="00EB3108">
        <w:rPr>
          <w:rFonts w:asciiTheme="minorHAnsi" w:hAnsiTheme="minorHAnsi"/>
          <w:b/>
        </w:rPr>
        <w:t>Token gift offer</w:t>
      </w:r>
      <w:r w:rsidRPr="00EB3108">
        <w:rPr>
          <w:rFonts w:asciiTheme="minorHAnsi" w:hAnsiTheme="minorHAnsi"/>
        </w:rPr>
        <w:t>: Gift offer that is inconsequential and trivial in value to both the offeror and the employee. Whilst this is the primary determinant, the offer must be worth le</w:t>
      </w:r>
      <w:r>
        <w:rPr>
          <w:rFonts w:asciiTheme="minorHAnsi" w:hAnsiTheme="minorHAnsi"/>
        </w:rPr>
        <w:t>ss than $50.</w:t>
      </w:r>
    </w:p>
    <w:sectPr w:rsidR="00EB3108" w:rsidRPr="00EB3108" w:rsidSect="00176897">
      <w:headerReference w:type="default" r:id="rId14"/>
      <w:footerReference w:type="default" r:id="rId15"/>
      <w:headerReference w:type="first" r:id="rId16"/>
      <w:footerReference w:type="first" r:id="rId17"/>
      <w:pgSz w:w="11907" w:h="16840" w:code="9"/>
      <w:pgMar w:top="2268" w:right="1134" w:bottom="567" w:left="1134" w:header="567"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4C22D" w14:textId="77777777" w:rsidR="005028CC" w:rsidRDefault="005028CC">
      <w:r>
        <w:separator/>
      </w:r>
    </w:p>
  </w:endnote>
  <w:endnote w:type="continuationSeparator" w:id="0">
    <w:p w14:paraId="3C4E2157" w14:textId="77777777" w:rsidR="005028CC" w:rsidRDefault="0050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
      <w:gridCol w:w="781"/>
      <w:gridCol w:w="1417"/>
      <w:gridCol w:w="1843"/>
      <w:gridCol w:w="1417"/>
      <w:gridCol w:w="3686"/>
    </w:tblGrid>
    <w:tr w:rsidR="00071E7D" w14:paraId="10A83469" w14:textId="77777777" w:rsidTr="00383AE6">
      <w:tc>
        <w:tcPr>
          <w:tcW w:w="887" w:type="dxa"/>
        </w:tcPr>
        <w:p w14:paraId="10A83463" w14:textId="77777777" w:rsidR="00071E7D" w:rsidRPr="00071E7D" w:rsidRDefault="00071E7D" w:rsidP="00DB7FD0">
          <w:pPr>
            <w:pStyle w:val="Footer"/>
            <w:rPr>
              <w:rFonts w:cs="Calibri"/>
              <w:color w:val="7F7F7F" w:themeColor="text1" w:themeTint="80"/>
              <w:sz w:val="20"/>
              <w:szCs w:val="20"/>
            </w:rPr>
          </w:pPr>
          <w:r w:rsidRPr="00071E7D">
            <w:rPr>
              <w:rFonts w:cs="Calibri"/>
              <w:color w:val="7F7F7F" w:themeColor="text1" w:themeTint="80"/>
              <w:sz w:val="20"/>
              <w:szCs w:val="20"/>
            </w:rPr>
            <w:t>Version:</w:t>
          </w:r>
        </w:p>
      </w:tc>
      <w:tc>
        <w:tcPr>
          <w:tcW w:w="781" w:type="dxa"/>
        </w:tcPr>
        <w:p w14:paraId="10A83464" w14:textId="75EC0162" w:rsidR="00071E7D" w:rsidRPr="00071E7D" w:rsidRDefault="004C0780" w:rsidP="004043DE">
          <w:pPr>
            <w:pStyle w:val="Footer"/>
            <w:spacing w:after="0"/>
            <w:rPr>
              <w:rFonts w:cs="Calibri"/>
              <w:color w:val="7F7F7F" w:themeColor="text1" w:themeTint="80"/>
              <w:sz w:val="20"/>
              <w:szCs w:val="20"/>
            </w:rPr>
          </w:pPr>
          <w:r>
            <w:rPr>
              <w:rFonts w:cs="Calibri"/>
              <w:color w:val="7F7F7F" w:themeColor="text1" w:themeTint="80"/>
              <w:sz w:val="20"/>
              <w:szCs w:val="20"/>
            </w:rPr>
            <w:t>1</w:t>
          </w:r>
          <w:r w:rsidR="00DF7732">
            <w:rPr>
              <w:rFonts w:cs="Calibri"/>
              <w:color w:val="7F7F7F" w:themeColor="text1" w:themeTint="80"/>
              <w:sz w:val="20"/>
              <w:szCs w:val="20"/>
            </w:rPr>
            <w:t>.0</w:t>
          </w:r>
          <w:r w:rsidR="00071E7D" w:rsidRPr="00071E7D">
            <w:rPr>
              <w:color w:val="000000"/>
              <w:sz w:val="20"/>
              <w:szCs w:val="20"/>
            </w:rPr>
            <w:t xml:space="preserve"> </w:t>
          </w:r>
        </w:p>
      </w:tc>
      <w:tc>
        <w:tcPr>
          <w:tcW w:w="1417" w:type="dxa"/>
        </w:tcPr>
        <w:p w14:paraId="10A83465" w14:textId="77777777" w:rsidR="00071E7D" w:rsidRPr="00071E7D" w:rsidRDefault="00071E7D" w:rsidP="00571E92">
          <w:pPr>
            <w:pStyle w:val="Footer"/>
            <w:spacing w:after="0"/>
            <w:rPr>
              <w:rFonts w:cs="Calibri"/>
              <w:color w:val="7F7F7F" w:themeColor="text1" w:themeTint="80"/>
              <w:sz w:val="20"/>
              <w:szCs w:val="20"/>
            </w:rPr>
          </w:pPr>
          <w:r w:rsidRPr="00071E7D">
            <w:rPr>
              <w:rFonts w:cs="Calibri"/>
              <w:color w:val="7F7F7F" w:themeColor="text1" w:themeTint="80"/>
              <w:sz w:val="20"/>
              <w:szCs w:val="20"/>
            </w:rPr>
            <w:t xml:space="preserve">Last Updated: </w:t>
          </w:r>
        </w:p>
      </w:tc>
      <w:tc>
        <w:tcPr>
          <w:tcW w:w="1843" w:type="dxa"/>
        </w:tcPr>
        <w:p w14:paraId="10A83466" w14:textId="339731F9" w:rsidR="00071E7D" w:rsidRPr="00071E7D" w:rsidRDefault="00257180" w:rsidP="004043DE">
          <w:pPr>
            <w:pStyle w:val="Footer"/>
            <w:spacing w:after="0"/>
            <w:rPr>
              <w:color w:val="000000"/>
              <w:sz w:val="20"/>
              <w:szCs w:val="20"/>
            </w:rPr>
          </w:pPr>
          <w:r>
            <w:rPr>
              <w:rFonts w:cs="Calibri"/>
              <w:color w:val="7F7F7F" w:themeColor="text1" w:themeTint="80"/>
              <w:sz w:val="20"/>
              <w:szCs w:val="20"/>
            </w:rPr>
            <w:t>A</w:t>
          </w:r>
          <w:r w:rsidR="00102293">
            <w:rPr>
              <w:rFonts w:cs="Calibri"/>
              <w:color w:val="7F7F7F" w:themeColor="text1" w:themeTint="80"/>
              <w:sz w:val="20"/>
              <w:szCs w:val="20"/>
            </w:rPr>
            <w:t xml:space="preserve">UG </w:t>
          </w:r>
          <w:r w:rsidR="00DF7732">
            <w:rPr>
              <w:rFonts w:cs="Calibri"/>
              <w:color w:val="7F7F7F" w:themeColor="text1" w:themeTint="80"/>
              <w:sz w:val="20"/>
              <w:szCs w:val="20"/>
            </w:rPr>
            <w:t>2018</w:t>
          </w:r>
        </w:p>
      </w:tc>
      <w:tc>
        <w:tcPr>
          <w:tcW w:w="1417" w:type="dxa"/>
        </w:tcPr>
        <w:p w14:paraId="10A83467" w14:textId="77777777" w:rsidR="00071E7D" w:rsidRPr="00071E7D" w:rsidRDefault="00071E7D" w:rsidP="00DB7FD0">
          <w:pPr>
            <w:pStyle w:val="Footer"/>
            <w:rPr>
              <w:rFonts w:cs="Calibri"/>
              <w:color w:val="7F7F7F" w:themeColor="text1" w:themeTint="80"/>
              <w:sz w:val="20"/>
              <w:szCs w:val="20"/>
            </w:rPr>
          </w:pPr>
          <w:r w:rsidRPr="00071E7D">
            <w:rPr>
              <w:rFonts w:cs="Calibri"/>
              <w:color w:val="7F7F7F" w:themeColor="text1" w:themeTint="80"/>
              <w:sz w:val="20"/>
              <w:szCs w:val="20"/>
            </w:rPr>
            <w:t>Approved by:</w:t>
          </w:r>
        </w:p>
      </w:tc>
      <w:tc>
        <w:tcPr>
          <w:tcW w:w="3686" w:type="dxa"/>
        </w:tcPr>
        <w:p w14:paraId="10A83468" w14:textId="4D365449" w:rsidR="00071E7D" w:rsidRDefault="00257180" w:rsidP="004043DE">
          <w:pPr>
            <w:pStyle w:val="Footer"/>
            <w:rPr>
              <w:rFonts w:cs="Calibri"/>
              <w:color w:val="7F7F7F" w:themeColor="text1" w:themeTint="80"/>
              <w:szCs w:val="22"/>
            </w:rPr>
          </w:pPr>
          <w:r>
            <w:rPr>
              <w:rFonts w:cs="Calibri"/>
              <w:color w:val="7F7F7F" w:themeColor="text1" w:themeTint="80"/>
              <w:sz w:val="20"/>
              <w:szCs w:val="20"/>
            </w:rPr>
            <w:t>Executive Director</w:t>
          </w:r>
          <w:r w:rsidR="00DF7732">
            <w:rPr>
              <w:rFonts w:cs="Calibri"/>
              <w:color w:val="7F7F7F" w:themeColor="text1" w:themeTint="80"/>
              <w:sz w:val="20"/>
              <w:szCs w:val="20"/>
            </w:rPr>
            <w:t xml:space="preserve">, Legal </w:t>
          </w:r>
          <w:r w:rsidR="00383AE6">
            <w:rPr>
              <w:rFonts w:cs="Calibri"/>
              <w:color w:val="7F7F7F" w:themeColor="text1" w:themeTint="80"/>
              <w:sz w:val="20"/>
              <w:szCs w:val="20"/>
            </w:rPr>
            <w:t>and Governance</w:t>
          </w:r>
        </w:p>
      </w:tc>
    </w:tr>
  </w:tbl>
  <w:p w14:paraId="10A8346A" w14:textId="7B578E65" w:rsidR="00F61027" w:rsidRPr="00C86652" w:rsidRDefault="00F47DB0" w:rsidP="00DB7FD0">
    <w:pPr>
      <w:pStyle w:val="Footer"/>
      <w:jc w:val="center"/>
    </w:pPr>
    <w:r w:rsidRPr="00F47DB0">
      <w:rPr>
        <w:rFonts w:cs="Calibri"/>
        <w:color w:val="31849B" w:themeColor="accent5" w:themeShade="BF"/>
        <w:szCs w:val="22"/>
      </w:rPr>
      <w:t xml:space="preserve">Page </w:t>
    </w:r>
    <w:r w:rsidRPr="00F47DB0">
      <w:rPr>
        <w:rFonts w:cs="Calibri"/>
        <w:bCs/>
        <w:color w:val="31849B" w:themeColor="accent5" w:themeShade="BF"/>
        <w:szCs w:val="22"/>
      </w:rPr>
      <w:fldChar w:fldCharType="begin"/>
    </w:r>
    <w:r w:rsidRPr="00F47DB0">
      <w:rPr>
        <w:rFonts w:cs="Calibri"/>
        <w:bCs/>
        <w:color w:val="31849B" w:themeColor="accent5" w:themeShade="BF"/>
        <w:szCs w:val="22"/>
      </w:rPr>
      <w:instrText xml:space="preserve"> PAGE </w:instrText>
    </w:r>
    <w:r w:rsidRPr="00F47DB0">
      <w:rPr>
        <w:rFonts w:cs="Calibri"/>
        <w:bCs/>
        <w:color w:val="31849B" w:themeColor="accent5" w:themeShade="BF"/>
        <w:szCs w:val="22"/>
      </w:rPr>
      <w:fldChar w:fldCharType="separate"/>
    </w:r>
    <w:r w:rsidR="00383AE6">
      <w:rPr>
        <w:rFonts w:cs="Calibri"/>
        <w:bCs/>
        <w:noProof/>
        <w:color w:val="31849B" w:themeColor="accent5" w:themeShade="BF"/>
        <w:szCs w:val="22"/>
      </w:rPr>
      <w:t>1</w:t>
    </w:r>
    <w:r w:rsidRPr="00F47DB0">
      <w:rPr>
        <w:rFonts w:cs="Calibri"/>
        <w:bCs/>
        <w:color w:val="31849B" w:themeColor="accent5" w:themeShade="BF"/>
        <w:szCs w:val="22"/>
      </w:rPr>
      <w:fldChar w:fldCharType="end"/>
    </w:r>
    <w:r w:rsidRPr="00F47DB0">
      <w:rPr>
        <w:rFonts w:cs="Calibri"/>
        <w:color w:val="31849B" w:themeColor="accent5" w:themeShade="BF"/>
        <w:szCs w:val="22"/>
      </w:rPr>
      <w:t xml:space="preserve"> of </w:t>
    </w:r>
    <w:r w:rsidRPr="00F47DB0">
      <w:rPr>
        <w:rFonts w:cs="Calibri"/>
        <w:bCs/>
        <w:color w:val="31849B" w:themeColor="accent5" w:themeShade="BF"/>
        <w:szCs w:val="22"/>
      </w:rPr>
      <w:fldChar w:fldCharType="begin"/>
    </w:r>
    <w:r w:rsidRPr="00F47DB0">
      <w:rPr>
        <w:rFonts w:cs="Calibri"/>
        <w:bCs/>
        <w:color w:val="31849B" w:themeColor="accent5" w:themeShade="BF"/>
        <w:szCs w:val="22"/>
      </w:rPr>
      <w:instrText xml:space="preserve"> NUMPAGES  </w:instrText>
    </w:r>
    <w:r w:rsidRPr="00F47DB0">
      <w:rPr>
        <w:rFonts w:cs="Calibri"/>
        <w:bCs/>
        <w:color w:val="31849B" w:themeColor="accent5" w:themeShade="BF"/>
        <w:szCs w:val="22"/>
      </w:rPr>
      <w:fldChar w:fldCharType="separate"/>
    </w:r>
    <w:r w:rsidR="00383AE6">
      <w:rPr>
        <w:rFonts w:cs="Calibri"/>
        <w:bCs/>
        <w:noProof/>
        <w:color w:val="31849B" w:themeColor="accent5" w:themeShade="BF"/>
        <w:szCs w:val="22"/>
      </w:rPr>
      <w:t>3</w:t>
    </w:r>
    <w:r w:rsidRPr="00F47DB0">
      <w:rPr>
        <w:rFonts w:cs="Calibri"/>
        <w:bCs/>
        <w:color w:val="31849B" w:themeColor="accent5" w:themeShade="B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346C" w14:textId="77777777" w:rsidR="00F61027" w:rsidRDefault="00F61027" w:rsidP="002015AD">
    <w:pPr>
      <w:pStyle w:val="Footer"/>
    </w:pPr>
    <w:r>
      <w:rPr>
        <w:noProof/>
        <w:lang w:eastAsia="en-AU"/>
      </w:rPr>
      <w:drawing>
        <wp:anchor distT="0" distB="0" distL="114300" distR="114300" simplePos="0" relativeHeight="251658752" behindDoc="0" locked="0" layoutInCell="1" allowOverlap="1" wp14:anchorId="10A83473" wp14:editId="7C78CA80">
          <wp:simplePos x="0" y="0"/>
          <wp:positionH relativeFrom="column">
            <wp:posOffset>4568190</wp:posOffset>
          </wp:positionH>
          <wp:positionV relativeFrom="paragraph">
            <wp:posOffset>5080</wp:posOffset>
          </wp:positionV>
          <wp:extent cx="1924050" cy="429260"/>
          <wp:effectExtent l="0" t="0" r="0" b="8890"/>
          <wp:wrapNone/>
          <wp:docPr id="6" name="Picture 6"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29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B5D3C" w14:textId="77777777" w:rsidR="005028CC" w:rsidRDefault="005028CC">
      <w:r>
        <w:separator/>
      </w:r>
    </w:p>
  </w:footnote>
  <w:footnote w:type="continuationSeparator" w:id="0">
    <w:p w14:paraId="7ACE2C13" w14:textId="77777777" w:rsidR="005028CC" w:rsidRDefault="00502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08" w:type="dxa"/>
      <w:tblLook w:val="01E0" w:firstRow="1" w:lastRow="1" w:firstColumn="1" w:lastColumn="1" w:noHBand="0" w:noVBand="0"/>
    </w:tblPr>
    <w:tblGrid>
      <w:gridCol w:w="10108"/>
    </w:tblGrid>
    <w:tr w:rsidR="00F61027" w:rsidRPr="00F83A6F" w14:paraId="10A83461" w14:textId="77777777" w:rsidTr="00E65D87">
      <w:trPr>
        <w:trHeight w:val="1286"/>
      </w:trPr>
      <w:tc>
        <w:tcPr>
          <w:tcW w:w="10108" w:type="dxa"/>
          <w:shd w:val="clear" w:color="auto" w:fill="auto"/>
          <w:vAlign w:val="center"/>
        </w:tcPr>
        <w:p w14:paraId="10A8345F" w14:textId="0300D888" w:rsidR="00BA35CD" w:rsidRPr="00DF7732" w:rsidRDefault="00F61027" w:rsidP="00DF7732">
          <w:pPr>
            <w:pStyle w:val="CertHDWhite"/>
            <w:tabs>
              <w:tab w:val="left" w:pos="7513"/>
            </w:tabs>
            <w:spacing w:line="240" w:lineRule="auto"/>
            <w:jc w:val="center"/>
            <w:rPr>
              <w:szCs w:val="40"/>
            </w:rPr>
          </w:pPr>
          <w:r>
            <w:rPr>
              <w:noProof/>
              <w:lang w:eastAsia="en-AU"/>
            </w:rPr>
            <w:drawing>
              <wp:anchor distT="0" distB="0" distL="114300" distR="114300" simplePos="0" relativeHeight="251659264" behindDoc="1" locked="0" layoutInCell="1" allowOverlap="1" wp14:anchorId="10A8346D" wp14:editId="3392EC74">
                <wp:simplePos x="0" y="0"/>
                <wp:positionH relativeFrom="column">
                  <wp:posOffset>1905</wp:posOffset>
                </wp:positionH>
                <wp:positionV relativeFrom="page">
                  <wp:posOffset>0</wp:posOffset>
                </wp:positionV>
                <wp:extent cx="6191250" cy="809625"/>
                <wp:effectExtent l="0" t="0" r="0" b="9525"/>
                <wp:wrapNone/>
                <wp:docPr id="4" name="Picture 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7732">
            <w:rPr>
              <w:noProof/>
              <w:lang w:eastAsia="en-AU"/>
            </w:rPr>
            <w:t>Gifts, Benefits and Hospitality</w:t>
          </w:r>
          <w:r>
            <w:rPr>
              <w:szCs w:val="40"/>
            </w:rPr>
            <w:t xml:space="preserve"> Policy</w:t>
          </w:r>
          <w:r w:rsidR="004A4705">
            <w:rPr>
              <w:szCs w:val="40"/>
            </w:rPr>
            <w:t xml:space="preserve"> </w:t>
          </w:r>
        </w:p>
        <w:p w14:paraId="10A83460" w14:textId="77777777" w:rsidR="00F61027" w:rsidRPr="00BA35CD" w:rsidRDefault="00F61027" w:rsidP="00BA35CD"/>
      </w:tc>
    </w:tr>
  </w:tbl>
  <w:p w14:paraId="10A83462" w14:textId="77777777" w:rsidR="00F61027" w:rsidRDefault="00F61027" w:rsidP="00426C32">
    <w:pPr>
      <w:pStyle w:val="ImprintBreak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346B" w14:textId="77777777" w:rsidR="00F61027" w:rsidRDefault="00F61027" w:rsidP="0003050C">
    <w:pPr>
      <w:pStyle w:val="Header"/>
    </w:pPr>
    <w:r>
      <w:rPr>
        <w:noProof/>
        <w:lang w:eastAsia="en-AU"/>
      </w:rPr>
      <w:drawing>
        <wp:anchor distT="0" distB="0" distL="114300" distR="114300" simplePos="0" relativeHeight="251656704" behindDoc="1" locked="0" layoutInCell="1" allowOverlap="1" wp14:anchorId="10A83471" wp14:editId="2685F79B">
          <wp:simplePos x="0" y="0"/>
          <wp:positionH relativeFrom="column">
            <wp:posOffset>36266</wp:posOffset>
          </wp:positionH>
          <wp:positionV relativeFrom="paragraph">
            <wp:posOffset>237349</wp:posOffset>
          </wp:positionV>
          <wp:extent cx="6129866" cy="1805017"/>
          <wp:effectExtent l="0" t="0" r="4445" b="5080"/>
          <wp:wrapNone/>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866" cy="18050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A36C8"/>
    <w:multiLevelType w:val="hybridMultilevel"/>
    <w:tmpl w:val="AE9A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0806A30"/>
    <w:multiLevelType w:val="hybridMultilevel"/>
    <w:tmpl w:val="0F965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0A7A9D"/>
    <w:multiLevelType w:val="multilevel"/>
    <w:tmpl w:val="701A01E4"/>
    <w:lvl w:ilvl="0">
      <w:start w:val="1"/>
      <w:numFmt w:val="bullet"/>
      <w:lvlText w:val=""/>
      <w:lvlJc w:val="left"/>
      <w:pPr>
        <w:tabs>
          <w:tab w:val="num" w:pos="360"/>
        </w:tabs>
        <w:ind w:left="360" w:hanging="360"/>
      </w:pPr>
      <w:rPr>
        <w:rFonts w:ascii="Symbol" w:hAnsi="Symbol" w:hint="default"/>
        <w:b/>
        <w:i w:val="0"/>
        <w:color w:val="F79646"/>
        <w:sz w:val="22"/>
      </w:rPr>
    </w:lvl>
    <w:lvl w:ilvl="1">
      <w:start w:val="1"/>
      <w:numFmt w:val="bullet"/>
      <w:lvlText w:val="o"/>
      <w:lvlJc w:val="left"/>
      <w:pPr>
        <w:tabs>
          <w:tab w:val="num" w:pos="1080"/>
        </w:tabs>
        <w:ind w:left="1080" w:hanging="360"/>
      </w:pPr>
      <w:rPr>
        <w:rFonts w:ascii="Courier New" w:hAnsi="Courier New" w:cs="Courier New" w:hint="default"/>
        <w:b/>
        <w:i w:val="0"/>
        <w:color w:val="F79646"/>
        <w:sz w:val="22"/>
      </w:rPr>
    </w:lvl>
    <w:lvl w:ilvl="2">
      <w:start w:val="1"/>
      <w:numFmt w:val="bullet"/>
      <w:lvlText w:val=""/>
      <w:lvlJc w:val="left"/>
      <w:pPr>
        <w:tabs>
          <w:tab w:val="num" w:pos="1800"/>
        </w:tabs>
        <w:ind w:left="1800" w:hanging="360"/>
      </w:pPr>
      <w:rPr>
        <w:rFonts w:ascii="Symbol" w:hAnsi="Symbol" w:hint="default"/>
        <w:b/>
        <w:i w:val="0"/>
        <w:color w:val="F79646"/>
        <w:sz w:val="22"/>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01350B74"/>
    <w:multiLevelType w:val="multilevel"/>
    <w:tmpl w:val="4FD28A82"/>
    <w:lvl w:ilvl="0">
      <w:start w:val="1"/>
      <w:numFmt w:val="bullet"/>
      <w:lvlText w:val=""/>
      <w:lvlJc w:val="left"/>
      <w:pPr>
        <w:tabs>
          <w:tab w:val="num" w:pos="360"/>
        </w:tabs>
        <w:ind w:left="357" w:hanging="357"/>
      </w:pPr>
      <w:rPr>
        <w:rFonts w:ascii="Symbol" w:hAnsi="Symbol" w:hint="default"/>
        <w:b w:val="0"/>
        <w:i w:val="0"/>
        <w:color w:val="000000" w:themeColor="text1"/>
        <w:sz w:val="22"/>
      </w:rPr>
    </w:lvl>
    <w:lvl w:ilvl="1">
      <w:start w:val="1"/>
      <w:numFmt w:val="bullet"/>
      <w:lvlText w:val="o"/>
      <w:lvlJc w:val="left"/>
      <w:pPr>
        <w:tabs>
          <w:tab w:val="num" w:pos="717"/>
        </w:tabs>
        <w:ind w:left="714" w:hanging="357"/>
      </w:pPr>
      <w:rPr>
        <w:rFonts w:ascii="Courier New" w:hAnsi="Courier New" w:hint="default"/>
        <w:b w:val="0"/>
        <w:i w:val="0"/>
        <w:color w:val="000000" w:themeColor="text1"/>
        <w:sz w:val="22"/>
      </w:rPr>
    </w:lvl>
    <w:lvl w:ilvl="2">
      <w:start w:val="1"/>
      <w:numFmt w:val="lowerRoman"/>
      <w:lvlText w:val="%3"/>
      <w:lvlJc w:val="left"/>
      <w:pPr>
        <w:tabs>
          <w:tab w:val="num" w:pos="1074"/>
        </w:tabs>
        <w:ind w:left="1071" w:hanging="357"/>
      </w:pPr>
      <w:rPr>
        <w:rFonts w:ascii="Calibri" w:hAnsi="Calibri" w:hint="default"/>
        <w:b w:val="0"/>
        <w:i w:val="0"/>
        <w:color w:val="000000" w:themeColor="text1"/>
        <w:sz w:val="22"/>
      </w:rPr>
    </w:lvl>
    <w:lvl w:ilvl="3">
      <w:start w:val="1"/>
      <w:numFmt w:val="bullet"/>
      <w:lvlText w:val=""/>
      <w:lvlJc w:val="left"/>
      <w:pPr>
        <w:tabs>
          <w:tab w:val="num" w:pos="1431"/>
        </w:tabs>
        <w:ind w:left="1428" w:hanging="357"/>
      </w:pPr>
      <w:rPr>
        <w:rFonts w:ascii="Wingdings" w:hAnsi="Wingdings" w:hint="default"/>
        <w:sz w:val="20"/>
      </w:rPr>
    </w:lvl>
    <w:lvl w:ilvl="4">
      <w:start w:val="1"/>
      <w:numFmt w:val="bullet"/>
      <w:lvlText w:val=""/>
      <w:lvlJc w:val="left"/>
      <w:pPr>
        <w:tabs>
          <w:tab w:val="num" w:pos="1788"/>
        </w:tabs>
        <w:ind w:left="1785" w:hanging="357"/>
      </w:pPr>
      <w:rPr>
        <w:rFonts w:ascii="Wingdings" w:hAnsi="Wingdings" w:hint="default"/>
        <w:sz w:val="20"/>
      </w:rPr>
    </w:lvl>
    <w:lvl w:ilvl="5">
      <w:start w:val="1"/>
      <w:numFmt w:val="bullet"/>
      <w:lvlText w:val=""/>
      <w:lvlJc w:val="left"/>
      <w:pPr>
        <w:tabs>
          <w:tab w:val="num" w:pos="2145"/>
        </w:tabs>
        <w:ind w:left="2142" w:hanging="357"/>
      </w:pPr>
      <w:rPr>
        <w:rFonts w:ascii="Wingdings" w:hAnsi="Wingdings" w:hint="default"/>
        <w:sz w:val="20"/>
      </w:rPr>
    </w:lvl>
    <w:lvl w:ilvl="6">
      <w:start w:val="1"/>
      <w:numFmt w:val="bullet"/>
      <w:lvlText w:val=""/>
      <w:lvlJc w:val="left"/>
      <w:pPr>
        <w:tabs>
          <w:tab w:val="num" w:pos="2502"/>
        </w:tabs>
        <w:ind w:left="2499" w:hanging="357"/>
      </w:pPr>
      <w:rPr>
        <w:rFonts w:ascii="Wingdings" w:hAnsi="Wingdings" w:hint="default"/>
        <w:sz w:val="20"/>
      </w:rPr>
    </w:lvl>
    <w:lvl w:ilvl="7">
      <w:start w:val="1"/>
      <w:numFmt w:val="bullet"/>
      <w:lvlText w:val=""/>
      <w:lvlJc w:val="left"/>
      <w:pPr>
        <w:tabs>
          <w:tab w:val="num" w:pos="2859"/>
        </w:tabs>
        <w:ind w:left="2856" w:hanging="357"/>
      </w:pPr>
      <w:rPr>
        <w:rFonts w:ascii="Wingdings" w:hAnsi="Wingdings" w:hint="default"/>
        <w:sz w:val="20"/>
      </w:rPr>
    </w:lvl>
    <w:lvl w:ilvl="8">
      <w:start w:val="1"/>
      <w:numFmt w:val="bullet"/>
      <w:lvlText w:val=""/>
      <w:lvlJc w:val="left"/>
      <w:pPr>
        <w:tabs>
          <w:tab w:val="num" w:pos="3216"/>
        </w:tabs>
        <w:ind w:left="3213" w:hanging="357"/>
      </w:pPr>
      <w:rPr>
        <w:rFonts w:ascii="Wingdings" w:hAnsi="Wingdings" w:hint="default"/>
        <w:sz w:val="20"/>
      </w:rPr>
    </w:lvl>
  </w:abstractNum>
  <w:abstractNum w:abstractNumId="14"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1956F9"/>
    <w:multiLevelType w:val="hybridMultilevel"/>
    <w:tmpl w:val="DBB2C87A"/>
    <w:lvl w:ilvl="0" w:tplc="E244F3C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4A37F4"/>
    <w:multiLevelType w:val="hybridMultilevel"/>
    <w:tmpl w:val="8C46F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A201A76"/>
    <w:multiLevelType w:val="hybridMultilevel"/>
    <w:tmpl w:val="8DDEE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3BC3AC3"/>
    <w:multiLevelType w:val="hybridMultilevel"/>
    <w:tmpl w:val="FC7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21" w15:restartNumberingAfterBreak="0">
    <w:nsid w:val="22B94C4D"/>
    <w:multiLevelType w:val="hybridMultilevel"/>
    <w:tmpl w:val="C4184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31D558F"/>
    <w:multiLevelType w:val="hybridMultilevel"/>
    <w:tmpl w:val="E4785DCC"/>
    <w:lvl w:ilvl="0" w:tplc="DB7A7416">
      <w:start w:val="1"/>
      <w:numFmt w:val="bullet"/>
      <w:pStyle w:val="Bullet2"/>
      <w:lvlText w:val="o"/>
      <w:lvlJc w:val="left"/>
      <w:pPr>
        <w:ind w:left="927"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23C44515"/>
    <w:multiLevelType w:val="hybridMultilevel"/>
    <w:tmpl w:val="E43C67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022CAA"/>
    <w:multiLevelType w:val="hybridMultilevel"/>
    <w:tmpl w:val="4C4C9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501275"/>
    <w:multiLevelType w:val="multilevel"/>
    <w:tmpl w:val="DBA6F9C2"/>
    <w:lvl w:ilvl="0">
      <w:start w:val="1"/>
      <w:numFmt w:val="decimal"/>
      <w:lvlText w:val="%1."/>
      <w:lvlJc w:val="left"/>
      <w:pPr>
        <w:ind w:left="357" w:hanging="357"/>
      </w:pPr>
      <w:rPr>
        <w:rFonts w:hint="default"/>
        <w:b/>
        <w:color w:val="008080"/>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4D545EC4"/>
    <w:multiLevelType w:val="multilevel"/>
    <w:tmpl w:val="77383A5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0" w15:restartNumberingAfterBreak="0">
    <w:nsid w:val="562349F8"/>
    <w:multiLevelType w:val="hybridMultilevel"/>
    <w:tmpl w:val="E1AAE0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AB233D"/>
    <w:multiLevelType w:val="multilevel"/>
    <w:tmpl w:val="EC54E6AC"/>
    <w:lvl w:ilvl="0">
      <w:start w:val="1"/>
      <w:numFmt w:val="decimal"/>
      <w:lvlText w:val="%1."/>
      <w:lvlJc w:val="left"/>
      <w:pPr>
        <w:tabs>
          <w:tab w:val="num" w:pos="360"/>
        </w:tabs>
        <w:ind w:left="360" w:hanging="360"/>
      </w:pPr>
      <w:rPr>
        <w:rFonts w:ascii="Calibri" w:hAnsi="Calibri" w:hint="default"/>
        <w:b/>
        <w:i w:val="0"/>
        <w:color w:val="31849B" w:themeColor="accent5" w:themeShade="BF"/>
        <w:sz w:val="22"/>
      </w:rPr>
    </w:lvl>
    <w:lvl w:ilvl="1">
      <w:start w:val="1"/>
      <w:numFmt w:val="bullet"/>
      <w:lvlText w:val="o"/>
      <w:lvlJc w:val="left"/>
      <w:pPr>
        <w:tabs>
          <w:tab w:val="num" w:pos="1080"/>
        </w:tabs>
        <w:ind w:left="1080" w:hanging="360"/>
      </w:pPr>
      <w:rPr>
        <w:rFonts w:ascii="Courier New" w:hAnsi="Courier New" w:cs="Courier New" w:hint="default"/>
        <w:b/>
        <w:i w:val="0"/>
        <w:color w:val="F79646"/>
        <w:sz w:val="22"/>
      </w:rPr>
    </w:lvl>
    <w:lvl w:ilvl="2">
      <w:start w:val="1"/>
      <w:numFmt w:val="bullet"/>
      <w:lvlText w:val=""/>
      <w:lvlJc w:val="left"/>
      <w:pPr>
        <w:tabs>
          <w:tab w:val="num" w:pos="1800"/>
        </w:tabs>
        <w:ind w:left="1800" w:hanging="360"/>
      </w:pPr>
      <w:rPr>
        <w:rFonts w:ascii="Symbol" w:hAnsi="Symbol" w:hint="default"/>
        <w:b/>
        <w:i w:val="0"/>
        <w:color w:val="F79646"/>
        <w:sz w:val="22"/>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5F237F9F"/>
    <w:multiLevelType w:val="hybridMultilevel"/>
    <w:tmpl w:val="770A4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BC458E"/>
    <w:multiLevelType w:val="hybridMultilevel"/>
    <w:tmpl w:val="F5FA1D52"/>
    <w:lvl w:ilvl="0" w:tplc="D11EF60A">
      <w:start w:val="1"/>
      <w:numFmt w:val="bullet"/>
      <w:lvlText w:val=""/>
      <w:lvlJc w:val="left"/>
      <w:pPr>
        <w:tabs>
          <w:tab w:val="num" w:pos="360"/>
        </w:tabs>
        <w:ind w:left="360" w:hanging="360"/>
      </w:pPr>
      <w:rPr>
        <w:rFonts w:ascii="Symbol" w:hAnsi="Symbol" w:hint="default"/>
      </w:rPr>
    </w:lvl>
    <w:lvl w:ilvl="1" w:tplc="F2F404C4">
      <w:start w:val="1"/>
      <w:numFmt w:val="bullet"/>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DD369A4"/>
    <w:multiLevelType w:val="hybridMultilevel"/>
    <w:tmpl w:val="2B7CB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5"/>
  </w:num>
  <w:num w:numId="14">
    <w:abstractNumId w:val="25"/>
  </w:num>
  <w:num w:numId="15">
    <w:abstractNumId w:val="34"/>
  </w:num>
  <w:num w:numId="16">
    <w:abstractNumId w:val="15"/>
  </w:num>
  <w:num w:numId="17">
    <w:abstractNumId w:val="34"/>
  </w:num>
  <w:num w:numId="18">
    <w:abstractNumId w:val="34"/>
  </w:num>
  <w:num w:numId="19">
    <w:abstractNumId w:val="34"/>
  </w:num>
  <w:num w:numId="20">
    <w:abstractNumId w:val="14"/>
  </w:num>
  <w:num w:numId="21">
    <w:abstractNumId w:val="18"/>
  </w:num>
  <w:num w:numId="22">
    <w:abstractNumId w:val="26"/>
  </w:num>
  <w:num w:numId="23">
    <w:abstractNumId w:val="33"/>
  </w:num>
  <w:num w:numId="24">
    <w:abstractNumId w:val="31"/>
  </w:num>
  <w:num w:numId="25">
    <w:abstractNumId w:val="15"/>
  </w:num>
  <w:num w:numId="26">
    <w:abstractNumId w:val="28"/>
  </w:num>
  <w:num w:numId="27">
    <w:abstractNumId w:val="12"/>
  </w:num>
  <w:num w:numId="28">
    <w:abstractNumId w:val="22"/>
  </w:num>
  <w:num w:numId="29">
    <w:abstractNumId w:val="22"/>
  </w:num>
  <w:num w:numId="30">
    <w:abstractNumId w:val="13"/>
  </w:num>
  <w:num w:numId="31">
    <w:abstractNumId w:val="32"/>
  </w:num>
  <w:num w:numId="32">
    <w:abstractNumId w:val="11"/>
  </w:num>
  <w:num w:numId="33">
    <w:abstractNumId w:val="20"/>
  </w:num>
  <w:num w:numId="34">
    <w:abstractNumId w:val="29"/>
  </w:num>
  <w:num w:numId="35">
    <w:abstractNumId w:val="19"/>
  </w:num>
  <w:num w:numId="36">
    <w:abstractNumId w:val="36"/>
  </w:num>
  <w:num w:numId="37">
    <w:abstractNumId w:val="30"/>
  </w:num>
  <w:num w:numId="38">
    <w:abstractNumId w:val="21"/>
  </w:num>
  <w:num w:numId="39">
    <w:abstractNumId w:val="23"/>
  </w:num>
  <w:num w:numId="40">
    <w:abstractNumId w:val="17"/>
  </w:num>
  <w:num w:numId="41">
    <w:abstractNumId w:val="16"/>
  </w:num>
  <w:num w:numId="42">
    <w:abstractNumId w:val="1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059"/>
    <w:rsid w:val="00012793"/>
    <w:rsid w:val="00013D7A"/>
    <w:rsid w:val="000142C2"/>
    <w:rsid w:val="0003050C"/>
    <w:rsid w:val="00034D96"/>
    <w:rsid w:val="000350E2"/>
    <w:rsid w:val="0003535F"/>
    <w:rsid w:val="00055FEF"/>
    <w:rsid w:val="00063E31"/>
    <w:rsid w:val="00071E7D"/>
    <w:rsid w:val="00077758"/>
    <w:rsid w:val="0008754B"/>
    <w:rsid w:val="0009044F"/>
    <w:rsid w:val="00096656"/>
    <w:rsid w:val="0009699E"/>
    <w:rsid w:val="000C1E27"/>
    <w:rsid w:val="000C2FAA"/>
    <w:rsid w:val="000C3259"/>
    <w:rsid w:val="000C39E4"/>
    <w:rsid w:val="000F3BD5"/>
    <w:rsid w:val="00102293"/>
    <w:rsid w:val="00120C40"/>
    <w:rsid w:val="00120F3F"/>
    <w:rsid w:val="00125376"/>
    <w:rsid w:val="00135491"/>
    <w:rsid w:val="00154577"/>
    <w:rsid w:val="00164BCF"/>
    <w:rsid w:val="00176897"/>
    <w:rsid w:val="00177115"/>
    <w:rsid w:val="001772E2"/>
    <w:rsid w:val="00181FBC"/>
    <w:rsid w:val="001A243B"/>
    <w:rsid w:val="001C14C3"/>
    <w:rsid w:val="001C3014"/>
    <w:rsid w:val="001C6D5E"/>
    <w:rsid w:val="001E069D"/>
    <w:rsid w:val="001E2024"/>
    <w:rsid w:val="001E6FD3"/>
    <w:rsid w:val="001E74EA"/>
    <w:rsid w:val="002015AD"/>
    <w:rsid w:val="0020255B"/>
    <w:rsid w:val="002122D2"/>
    <w:rsid w:val="00217D52"/>
    <w:rsid w:val="002232BD"/>
    <w:rsid w:val="00236DA4"/>
    <w:rsid w:val="00246D68"/>
    <w:rsid w:val="002526EA"/>
    <w:rsid w:val="00257180"/>
    <w:rsid w:val="00261DCB"/>
    <w:rsid w:val="00265B56"/>
    <w:rsid w:val="00271B91"/>
    <w:rsid w:val="00284D8A"/>
    <w:rsid w:val="00285925"/>
    <w:rsid w:val="002B2466"/>
    <w:rsid w:val="002C41A9"/>
    <w:rsid w:val="002C4BC3"/>
    <w:rsid w:val="002C5BA2"/>
    <w:rsid w:val="002D2478"/>
    <w:rsid w:val="002D3CC8"/>
    <w:rsid w:val="002D680B"/>
    <w:rsid w:val="002E2EC1"/>
    <w:rsid w:val="002E7490"/>
    <w:rsid w:val="002F0280"/>
    <w:rsid w:val="00321F9E"/>
    <w:rsid w:val="0032513F"/>
    <w:rsid w:val="00330679"/>
    <w:rsid w:val="00332CB5"/>
    <w:rsid w:val="00361402"/>
    <w:rsid w:val="0037739A"/>
    <w:rsid w:val="00383AE6"/>
    <w:rsid w:val="003A05B3"/>
    <w:rsid w:val="003B43DE"/>
    <w:rsid w:val="003C2962"/>
    <w:rsid w:val="003E0B9A"/>
    <w:rsid w:val="003E7DEA"/>
    <w:rsid w:val="003F437F"/>
    <w:rsid w:val="003F5A5C"/>
    <w:rsid w:val="004043DE"/>
    <w:rsid w:val="00404EF3"/>
    <w:rsid w:val="00426C32"/>
    <w:rsid w:val="0043348E"/>
    <w:rsid w:val="004426E1"/>
    <w:rsid w:val="00443AE3"/>
    <w:rsid w:val="00455AC0"/>
    <w:rsid w:val="00467D8F"/>
    <w:rsid w:val="004747FC"/>
    <w:rsid w:val="0047538B"/>
    <w:rsid w:val="00475F61"/>
    <w:rsid w:val="004969C1"/>
    <w:rsid w:val="004A4705"/>
    <w:rsid w:val="004C0780"/>
    <w:rsid w:val="004C2CA8"/>
    <w:rsid w:val="004E4BDF"/>
    <w:rsid w:val="004E6888"/>
    <w:rsid w:val="0050106E"/>
    <w:rsid w:val="005028CC"/>
    <w:rsid w:val="0050769F"/>
    <w:rsid w:val="00512102"/>
    <w:rsid w:val="005229C6"/>
    <w:rsid w:val="00524C52"/>
    <w:rsid w:val="00527087"/>
    <w:rsid w:val="005304F7"/>
    <w:rsid w:val="00534B38"/>
    <w:rsid w:val="00540762"/>
    <w:rsid w:val="00544B68"/>
    <w:rsid w:val="00556436"/>
    <w:rsid w:val="00557B17"/>
    <w:rsid w:val="00571E92"/>
    <w:rsid w:val="00573E23"/>
    <w:rsid w:val="00575F3A"/>
    <w:rsid w:val="00580B7F"/>
    <w:rsid w:val="00582724"/>
    <w:rsid w:val="005A1F98"/>
    <w:rsid w:val="005B0C2D"/>
    <w:rsid w:val="005B3CE8"/>
    <w:rsid w:val="005C162D"/>
    <w:rsid w:val="005C5494"/>
    <w:rsid w:val="005C5954"/>
    <w:rsid w:val="005C70F5"/>
    <w:rsid w:val="005F19DA"/>
    <w:rsid w:val="00602BDF"/>
    <w:rsid w:val="00603134"/>
    <w:rsid w:val="00606451"/>
    <w:rsid w:val="006137CE"/>
    <w:rsid w:val="00620E67"/>
    <w:rsid w:val="00623482"/>
    <w:rsid w:val="0062669A"/>
    <w:rsid w:val="00632914"/>
    <w:rsid w:val="00656186"/>
    <w:rsid w:val="006643F2"/>
    <w:rsid w:val="006741C5"/>
    <w:rsid w:val="00675636"/>
    <w:rsid w:val="00685197"/>
    <w:rsid w:val="0069559B"/>
    <w:rsid w:val="006B3BE9"/>
    <w:rsid w:val="006B4688"/>
    <w:rsid w:val="006E6B65"/>
    <w:rsid w:val="006F53DB"/>
    <w:rsid w:val="006F707D"/>
    <w:rsid w:val="0070362A"/>
    <w:rsid w:val="00705440"/>
    <w:rsid w:val="00712817"/>
    <w:rsid w:val="00724A00"/>
    <w:rsid w:val="00731631"/>
    <w:rsid w:val="00733F1E"/>
    <w:rsid w:val="0074011A"/>
    <w:rsid w:val="0074475B"/>
    <w:rsid w:val="00752E36"/>
    <w:rsid w:val="00756A07"/>
    <w:rsid w:val="00764239"/>
    <w:rsid w:val="00767D18"/>
    <w:rsid w:val="007702BD"/>
    <w:rsid w:val="007B0E45"/>
    <w:rsid w:val="007B1469"/>
    <w:rsid w:val="007B2F46"/>
    <w:rsid w:val="007B62F8"/>
    <w:rsid w:val="007B6E26"/>
    <w:rsid w:val="007C7754"/>
    <w:rsid w:val="007D06DC"/>
    <w:rsid w:val="007D3F05"/>
    <w:rsid w:val="007E3E33"/>
    <w:rsid w:val="007E6165"/>
    <w:rsid w:val="007F03C7"/>
    <w:rsid w:val="007F5211"/>
    <w:rsid w:val="008110B2"/>
    <w:rsid w:val="00834943"/>
    <w:rsid w:val="0083541B"/>
    <w:rsid w:val="008416AA"/>
    <w:rsid w:val="00852823"/>
    <w:rsid w:val="00863829"/>
    <w:rsid w:val="00865A63"/>
    <w:rsid w:val="00872BAF"/>
    <w:rsid w:val="008732EE"/>
    <w:rsid w:val="00875886"/>
    <w:rsid w:val="008832F9"/>
    <w:rsid w:val="00887805"/>
    <w:rsid w:val="008979EB"/>
    <w:rsid w:val="008A3B87"/>
    <w:rsid w:val="008A6BBA"/>
    <w:rsid w:val="008A6E28"/>
    <w:rsid w:val="008B61B5"/>
    <w:rsid w:val="008B6CF9"/>
    <w:rsid w:val="008C1B1D"/>
    <w:rsid w:val="008C78CB"/>
    <w:rsid w:val="008D4D5E"/>
    <w:rsid w:val="008E39E1"/>
    <w:rsid w:val="008F3B83"/>
    <w:rsid w:val="008F4932"/>
    <w:rsid w:val="0092030C"/>
    <w:rsid w:val="00926BDE"/>
    <w:rsid w:val="00927E6A"/>
    <w:rsid w:val="009301C8"/>
    <w:rsid w:val="00935AE0"/>
    <w:rsid w:val="00942CDF"/>
    <w:rsid w:val="00943339"/>
    <w:rsid w:val="00944434"/>
    <w:rsid w:val="00953344"/>
    <w:rsid w:val="00962D3B"/>
    <w:rsid w:val="00972191"/>
    <w:rsid w:val="00981EA2"/>
    <w:rsid w:val="009872FB"/>
    <w:rsid w:val="00997CBE"/>
    <w:rsid w:val="009A3EB6"/>
    <w:rsid w:val="009C3B5A"/>
    <w:rsid w:val="009C787A"/>
    <w:rsid w:val="009D1C0C"/>
    <w:rsid w:val="009E666D"/>
    <w:rsid w:val="009E66AE"/>
    <w:rsid w:val="009E7485"/>
    <w:rsid w:val="009F2D92"/>
    <w:rsid w:val="00A0021E"/>
    <w:rsid w:val="00A03F08"/>
    <w:rsid w:val="00A04614"/>
    <w:rsid w:val="00A11FE6"/>
    <w:rsid w:val="00A230CC"/>
    <w:rsid w:val="00A3230C"/>
    <w:rsid w:val="00A357C2"/>
    <w:rsid w:val="00A36BC9"/>
    <w:rsid w:val="00A37BFA"/>
    <w:rsid w:val="00A5261B"/>
    <w:rsid w:val="00A56C4D"/>
    <w:rsid w:val="00A626E9"/>
    <w:rsid w:val="00A6408E"/>
    <w:rsid w:val="00A6450E"/>
    <w:rsid w:val="00A67D11"/>
    <w:rsid w:val="00A730A4"/>
    <w:rsid w:val="00A73D14"/>
    <w:rsid w:val="00A80E1B"/>
    <w:rsid w:val="00A83A7C"/>
    <w:rsid w:val="00A85593"/>
    <w:rsid w:val="00AA1199"/>
    <w:rsid w:val="00AA6401"/>
    <w:rsid w:val="00AB446A"/>
    <w:rsid w:val="00AC0ECF"/>
    <w:rsid w:val="00AC372B"/>
    <w:rsid w:val="00AC6B0F"/>
    <w:rsid w:val="00AE3A4F"/>
    <w:rsid w:val="00AE7031"/>
    <w:rsid w:val="00AF49D6"/>
    <w:rsid w:val="00AF4DB4"/>
    <w:rsid w:val="00B068DA"/>
    <w:rsid w:val="00B077CF"/>
    <w:rsid w:val="00B137B4"/>
    <w:rsid w:val="00B13A83"/>
    <w:rsid w:val="00B20D55"/>
    <w:rsid w:val="00B24A07"/>
    <w:rsid w:val="00B475BF"/>
    <w:rsid w:val="00B95745"/>
    <w:rsid w:val="00BA35CD"/>
    <w:rsid w:val="00BB3395"/>
    <w:rsid w:val="00BB37E4"/>
    <w:rsid w:val="00BD4BC3"/>
    <w:rsid w:val="00BE0986"/>
    <w:rsid w:val="00BF62F9"/>
    <w:rsid w:val="00C02B7B"/>
    <w:rsid w:val="00C061DD"/>
    <w:rsid w:val="00C12A10"/>
    <w:rsid w:val="00C3010D"/>
    <w:rsid w:val="00C36059"/>
    <w:rsid w:val="00C362AC"/>
    <w:rsid w:val="00C403BA"/>
    <w:rsid w:val="00C44C88"/>
    <w:rsid w:val="00C46B5E"/>
    <w:rsid w:val="00C651CE"/>
    <w:rsid w:val="00C73267"/>
    <w:rsid w:val="00C772CA"/>
    <w:rsid w:val="00C86652"/>
    <w:rsid w:val="00C86B17"/>
    <w:rsid w:val="00CA19B7"/>
    <w:rsid w:val="00CB3677"/>
    <w:rsid w:val="00CB3A55"/>
    <w:rsid w:val="00CE10A1"/>
    <w:rsid w:val="00CF5E50"/>
    <w:rsid w:val="00D031F0"/>
    <w:rsid w:val="00D033C6"/>
    <w:rsid w:val="00D053C5"/>
    <w:rsid w:val="00D114E4"/>
    <w:rsid w:val="00D11924"/>
    <w:rsid w:val="00D13102"/>
    <w:rsid w:val="00D33BE6"/>
    <w:rsid w:val="00D35A20"/>
    <w:rsid w:val="00D408CF"/>
    <w:rsid w:val="00D54618"/>
    <w:rsid w:val="00D54DE0"/>
    <w:rsid w:val="00D57FF0"/>
    <w:rsid w:val="00D634D8"/>
    <w:rsid w:val="00D840DE"/>
    <w:rsid w:val="00DA0042"/>
    <w:rsid w:val="00DA5AE5"/>
    <w:rsid w:val="00DB4ABB"/>
    <w:rsid w:val="00DB6974"/>
    <w:rsid w:val="00DB7FD0"/>
    <w:rsid w:val="00DC4D88"/>
    <w:rsid w:val="00DC68E1"/>
    <w:rsid w:val="00DD0AB3"/>
    <w:rsid w:val="00DD3436"/>
    <w:rsid w:val="00DD7DEB"/>
    <w:rsid w:val="00DE2624"/>
    <w:rsid w:val="00DE2EEA"/>
    <w:rsid w:val="00DE5117"/>
    <w:rsid w:val="00DF5B56"/>
    <w:rsid w:val="00DF6665"/>
    <w:rsid w:val="00DF7732"/>
    <w:rsid w:val="00E066C2"/>
    <w:rsid w:val="00E07718"/>
    <w:rsid w:val="00E15BD0"/>
    <w:rsid w:val="00E2394C"/>
    <w:rsid w:val="00E25688"/>
    <w:rsid w:val="00E261AC"/>
    <w:rsid w:val="00E278B1"/>
    <w:rsid w:val="00E30FFD"/>
    <w:rsid w:val="00E325A1"/>
    <w:rsid w:val="00E40A74"/>
    <w:rsid w:val="00E51072"/>
    <w:rsid w:val="00E56D27"/>
    <w:rsid w:val="00E6278D"/>
    <w:rsid w:val="00E65D87"/>
    <w:rsid w:val="00E8448C"/>
    <w:rsid w:val="00E9178F"/>
    <w:rsid w:val="00E956C6"/>
    <w:rsid w:val="00EA31C2"/>
    <w:rsid w:val="00EA5A4C"/>
    <w:rsid w:val="00EB2BB2"/>
    <w:rsid w:val="00EB2C57"/>
    <w:rsid w:val="00EB3108"/>
    <w:rsid w:val="00EB3C55"/>
    <w:rsid w:val="00EB75EA"/>
    <w:rsid w:val="00EC0AE7"/>
    <w:rsid w:val="00EC4DCD"/>
    <w:rsid w:val="00EC6F19"/>
    <w:rsid w:val="00EE1A8F"/>
    <w:rsid w:val="00F0013D"/>
    <w:rsid w:val="00F06533"/>
    <w:rsid w:val="00F13B95"/>
    <w:rsid w:val="00F15CF7"/>
    <w:rsid w:val="00F27E16"/>
    <w:rsid w:val="00F34D74"/>
    <w:rsid w:val="00F41E92"/>
    <w:rsid w:val="00F46148"/>
    <w:rsid w:val="00F47DB0"/>
    <w:rsid w:val="00F5486A"/>
    <w:rsid w:val="00F54CCE"/>
    <w:rsid w:val="00F61027"/>
    <w:rsid w:val="00F67782"/>
    <w:rsid w:val="00F708A6"/>
    <w:rsid w:val="00F74678"/>
    <w:rsid w:val="00F755EB"/>
    <w:rsid w:val="00F83A6F"/>
    <w:rsid w:val="00F845F4"/>
    <w:rsid w:val="00F853E2"/>
    <w:rsid w:val="00F910D5"/>
    <w:rsid w:val="00F930FD"/>
    <w:rsid w:val="00F946DA"/>
    <w:rsid w:val="00FA2BC8"/>
    <w:rsid w:val="00FA34AA"/>
    <w:rsid w:val="00FB554E"/>
    <w:rsid w:val="00FC01F8"/>
    <w:rsid w:val="00FC4E61"/>
    <w:rsid w:val="00FC51EE"/>
    <w:rsid w:val="00FD1367"/>
    <w:rsid w:val="00FD34FA"/>
    <w:rsid w:val="00FD674C"/>
    <w:rsid w:val="00FD74D6"/>
    <w:rsid w:val="00FE0078"/>
    <w:rsid w:val="00FE229F"/>
    <w:rsid w:val="00FE4EB7"/>
    <w:rsid w:val="00FF0FE0"/>
    <w:rsid w:val="00FF1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0A8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qFormat/>
    <w:rsid w:val="008D4D5E"/>
    <w:pPr>
      <w:spacing w:after="113"/>
    </w:pPr>
    <w:rPr>
      <w:rFonts w:ascii="Calibri" w:hAnsi="Calibri"/>
      <w:sz w:val="22"/>
      <w:szCs w:val="24"/>
      <w:lang w:eastAsia="en-US"/>
    </w:rPr>
  </w:style>
  <w:style w:type="paragraph" w:styleId="Heading1">
    <w:name w:val="heading 1"/>
    <w:basedOn w:val="Body"/>
    <w:next w:val="Normal"/>
    <w:qFormat/>
    <w:rsid w:val="001E74EA"/>
    <w:pPr>
      <w:spacing w:before="240" w:after="240"/>
      <w:outlineLvl w:val="0"/>
    </w:pPr>
    <w:rPr>
      <w:rFonts w:eastAsia="Calibri"/>
      <w:b/>
      <w:color w:val="31849B" w:themeColor="accent5" w:themeShade="BF"/>
      <w:sz w:val="28"/>
      <w:szCs w:val="28"/>
    </w:rPr>
  </w:style>
  <w:style w:type="paragraph" w:styleId="Heading2">
    <w:name w:val="heading 2"/>
    <w:basedOn w:val="HB"/>
    <w:next w:val="Normal"/>
    <w:qFormat/>
    <w:rsid w:val="002F0280"/>
    <w:pPr>
      <w:spacing w:before="0"/>
      <w:outlineLvl w:val="1"/>
    </w:pPr>
    <w:rPr>
      <w:rFonts w:eastAsia="Calibri"/>
      <w:sz w:val="24"/>
    </w:rPr>
  </w:style>
  <w:style w:type="paragraph" w:styleId="Heading3">
    <w:name w:val="heading 3"/>
    <w:basedOn w:val="HC"/>
    <w:next w:val="Normal"/>
    <w:qFormat/>
    <w:rsid w:val="00BE0986"/>
    <w:pPr>
      <w:outlineLvl w:val="2"/>
    </w:pPr>
    <w:rPr>
      <w:rFonts w:eastAsia="Calibri"/>
    </w:rPr>
  </w:style>
  <w:style w:type="paragraph" w:styleId="Heading4">
    <w:name w:val="heading 4"/>
    <w:basedOn w:val="Normal"/>
    <w:next w:val="Normal"/>
    <w:rsid w:val="005304F7"/>
    <w:pPr>
      <w:keepNext/>
      <w:spacing w:before="240" w:after="60"/>
      <w:outlineLvl w:val="3"/>
    </w:pPr>
    <w:rPr>
      <w:b/>
      <w:bCs/>
      <w:sz w:val="28"/>
      <w:szCs w:val="28"/>
    </w:rPr>
  </w:style>
  <w:style w:type="paragraph" w:styleId="Heading5">
    <w:name w:val="heading 5"/>
    <w:basedOn w:val="Normal"/>
    <w:next w:val="Normal"/>
    <w:rsid w:val="005304F7"/>
    <w:pPr>
      <w:spacing w:before="240" w:after="60"/>
      <w:outlineLvl w:val="4"/>
    </w:pPr>
    <w:rPr>
      <w:b/>
      <w:bCs/>
      <w:i/>
      <w:iCs/>
      <w:sz w:val="26"/>
      <w:szCs w:val="26"/>
    </w:rPr>
  </w:style>
  <w:style w:type="paragraph" w:styleId="Heading6">
    <w:name w:val="heading 6"/>
    <w:basedOn w:val="Normal"/>
    <w:next w:val="Normal"/>
    <w:rsid w:val="005304F7"/>
    <w:pPr>
      <w:spacing w:before="240" w:after="60"/>
      <w:outlineLvl w:val="5"/>
    </w:pPr>
    <w:rPr>
      <w:b/>
      <w:bCs/>
      <w:szCs w:val="22"/>
    </w:rPr>
  </w:style>
  <w:style w:type="paragraph" w:styleId="Heading7">
    <w:name w:val="heading 7"/>
    <w:basedOn w:val="Normal"/>
    <w:next w:val="Normal"/>
    <w:rsid w:val="005304F7"/>
    <w:pPr>
      <w:spacing w:before="240" w:after="60"/>
      <w:outlineLvl w:val="6"/>
    </w:pPr>
  </w:style>
  <w:style w:type="paragraph" w:styleId="Heading8">
    <w:name w:val="heading 8"/>
    <w:basedOn w:val="Normal"/>
    <w:next w:val="Normal"/>
    <w:rsid w:val="005304F7"/>
    <w:pPr>
      <w:spacing w:before="240" w:after="60"/>
      <w:outlineLvl w:val="7"/>
    </w:pPr>
    <w:rPr>
      <w:i/>
      <w:iCs/>
    </w:rPr>
  </w:style>
  <w:style w:type="paragraph" w:styleId="Heading9">
    <w:name w:val="heading 9"/>
    <w:basedOn w:val="Normal"/>
    <w:next w:val="Normal"/>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7B2F46"/>
    <w:pPr>
      <w:spacing w:line="240" w:lineRule="atLeast"/>
    </w:pPr>
    <w:rPr>
      <w:rFonts w:ascii="Calibri" w:hAnsi="Calibri" w:cs="Arial"/>
      <w:sz w:val="22"/>
      <w:szCs w:val="24"/>
      <w:lang w:eastAsia="en-US"/>
    </w:rPr>
  </w:style>
  <w:style w:type="paragraph" w:customStyle="1" w:styleId="Bullet">
    <w:name w:val="_Bullet"/>
    <w:basedOn w:val="Normal"/>
    <w:link w:val="BulletChar"/>
    <w:qFormat/>
    <w:rsid w:val="002232BD"/>
    <w:pPr>
      <w:spacing w:after="0"/>
    </w:pPr>
  </w:style>
  <w:style w:type="character" w:customStyle="1" w:styleId="BulletChar">
    <w:name w:val="_Bullet Char"/>
    <w:link w:val="Bullet"/>
    <w:rsid w:val="002232BD"/>
    <w:rPr>
      <w:rFonts w:ascii="Calibri" w:hAnsi="Calibri"/>
      <w:sz w:val="22"/>
      <w:szCs w:val="24"/>
      <w:lang w:eastAsia="en-US"/>
    </w:rPr>
  </w:style>
  <w:style w:type="paragraph" w:customStyle="1" w:styleId="Bullet2">
    <w:name w:val="_Bullet2"/>
    <w:basedOn w:val="Bullet"/>
    <w:qFormat/>
    <w:rsid w:val="00BB3395"/>
    <w:pPr>
      <w:numPr>
        <w:numId w:val="28"/>
      </w:numPr>
      <w:ind w:left="714" w:hanging="357"/>
    </w:pPr>
  </w:style>
  <w:style w:type="paragraph" w:customStyle="1" w:styleId="Caption">
    <w:name w:val="_Caption"/>
    <w:qFormat/>
    <w:rsid w:val="00767D18"/>
    <w:pPr>
      <w:spacing w:before="120" w:after="120" w:line="170" w:lineRule="atLeast"/>
    </w:pPr>
    <w:rPr>
      <w:rFonts w:ascii="Calibri" w:hAnsi="Calibri" w:cs="Arial"/>
      <w:b/>
      <w:color w:val="404040"/>
      <w:sz w:val="22"/>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8110B2"/>
    <w:pPr>
      <w:spacing w:before="57" w:after="57" w:line="220" w:lineRule="atLeast"/>
    </w:pPr>
    <w:rPr>
      <w:rFonts w:ascii="Calibri" w:hAnsi="Calibri" w:cs="Arial"/>
      <w:b/>
      <w:i/>
      <w:sz w:val="22"/>
      <w:szCs w:val="24"/>
      <w:lang w:eastAsia="en-US"/>
    </w:rPr>
  </w:style>
  <w:style w:type="paragraph" w:customStyle="1" w:styleId="Pullout">
    <w:name w:val="_Pullou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DB7FD0"/>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rsid w:val="00F74678"/>
    <w:pPr>
      <w:tabs>
        <w:tab w:val="center" w:pos="4320"/>
        <w:tab w:val="right" w:pos="8640"/>
      </w:tabs>
    </w:pPr>
  </w:style>
  <w:style w:type="table" w:styleId="TableGrid">
    <w:name w:val="Table Grid"/>
    <w:basedOn w:val="TableNormal"/>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uiPriority w:val="99"/>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5304F7"/>
    <w:rPr>
      <w:b/>
      <w:bCs/>
    </w:rPr>
  </w:style>
  <w:style w:type="paragraph" w:styleId="Subtitle">
    <w:name w:val="Subtitle"/>
    <w:basedOn w:val="Normal"/>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character" w:customStyle="1" w:styleId="FooterChar">
    <w:name w:val="Footer Char"/>
    <w:link w:val="Footer"/>
    <w:rsid w:val="00F47DB0"/>
    <w:rPr>
      <w:rFonts w:ascii="Calibri" w:hAnsi="Calibri"/>
      <w:sz w:val="22"/>
      <w:szCs w:val="24"/>
      <w:lang w:eastAsia="en-US"/>
    </w:rPr>
  </w:style>
  <w:style w:type="paragraph" w:styleId="TOC1">
    <w:name w:val="toc 1"/>
    <w:basedOn w:val="Normal"/>
    <w:next w:val="Normal"/>
    <w:uiPriority w:val="39"/>
    <w:qFormat/>
    <w:rsid w:val="005F19DA"/>
    <w:pPr>
      <w:spacing w:after="0"/>
    </w:pPr>
    <w:rPr>
      <w:color w:val="31849B" w:themeColor="accent5" w:themeShade="BF"/>
      <w:u w:val="single"/>
    </w:rPr>
  </w:style>
  <w:style w:type="paragraph" w:styleId="ListParagraph">
    <w:name w:val="List Paragraph"/>
    <w:basedOn w:val="Normal"/>
    <w:uiPriority w:val="34"/>
    <w:rsid w:val="007B2F46"/>
    <w:pPr>
      <w:ind w:left="720"/>
      <w:contextualSpacing/>
    </w:pPr>
  </w:style>
  <w:style w:type="paragraph" w:customStyle="1" w:styleId="TableTextBullet2">
    <w:name w:val="Table Text Bullet 2"/>
    <w:basedOn w:val="TableTextBullet"/>
    <w:qFormat/>
    <w:rsid w:val="00164BCF"/>
    <w:pPr>
      <w:numPr>
        <w:ilvl w:val="1"/>
      </w:numPr>
    </w:pPr>
    <w:rPr>
      <w:bCs/>
    </w:rPr>
  </w:style>
  <w:style w:type="paragraph" w:customStyle="1" w:styleId="TableTextBullet3">
    <w:name w:val="Table Text Bullet 3"/>
    <w:basedOn w:val="TableTextBullet2"/>
    <w:qFormat/>
    <w:rsid w:val="00164BCF"/>
    <w:pPr>
      <w:numPr>
        <w:ilvl w:val="2"/>
      </w:numPr>
    </w:pPr>
    <w:rPr>
      <w:bCs w:val="0"/>
    </w:rPr>
  </w:style>
  <w:style w:type="paragraph" w:customStyle="1" w:styleId="TableHeadingLeft">
    <w:name w:val="Table Heading Left"/>
    <w:basedOn w:val="TableTextLeft"/>
    <w:qFormat/>
    <w:rsid w:val="00164BCF"/>
    <w:pPr>
      <w:keepNext/>
      <w:keepLines/>
    </w:pPr>
    <w:rPr>
      <w:b/>
      <w:color w:val="FFFFFF"/>
    </w:rPr>
  </w:style>
  <w:style w:type="paragraph" w:customStyle="1" w:styleId="TableTextLeft">
    <w:name w:val="Table Text Left"/>
    <w:basedOn w:val="Normal"/>
    <w:qFormat/>
    <w:rsid w:val="00164BCF"/>
    <w:pPr>
      <w:spacing w:before="60" w:after="60" w:line="220" w:lineRule="atLeast"/>
      <w:ind w:left="113" w:right="113"/>
    </w:pPr>
    <w:rPr>
      <w:rFonts w:asciiTheme="minorHAnsi" w:hAnsiTheme="minorHAnsi" w:cs="Arial"/>
      <w:color w:val="000000" w:themeColor="text1"/>
      <w:sz w:val="18"/>
      <w:szCs w:val="20"/>
      <w:lang w:eastAsia="en-AU"/>
    </w:rPr>
  </w:style>
  <w:style w:type="paragraph" w:customStyle="1" w:styleId="TableTextBullet">
    <w:name w:val="Table Text Bullet"/>
    <w:basedOn w:val="TableTextLeft"/>
    <w:qFormat/>
    <w:rsid w:val="00164BCF"/>
    <w:pPr>
      <w:numPr>
        <w:numId w:val="33"/>
      </w:numPr>
    </w:pPr>
  </w:style>
  <w:style w:type="paragraph" w:customStyle="1" w:styleId="HighlightBoxBullet">
    <w:name w:val="Highlight Box Bullet"/>
    <w:basedOn w:val="Normal"/>
    <w:qFormat/>
    <w:rsid w:val="00164BCF"/>
    <w:pPr>
      <w:numPr>
        <w:numId w:val="34"/>
      </w:numPr>
      <w:tabs>
        <w:tab w:val="left" w:pos="454"/>
      </w:tabs>
      <w:spacing w:before="120" w:after="120" w:line="300" w:lineRule="atLeast"/>
      <w:ind w:right="227"/>
    </w:pPr>
    <w:rPr>
      <w:rFonts w:asciiTheme="minorHAnsi" w:hAnsiTheme="minorHAnsi" w:cs="Arial"/>
      <w:color w:val="FFFFFF"/>
      <w:spacing w:val="-2"/>
      <w:sz w:val="24"/>
      <w:szCs w:val="20"/>
      <w:lang w:eastAsia="en-AU"/>
    </w:rPr>
  </w:style>
  <w:style w:type="character" w:styleId="UnresolvedMention">
    <w:name w:val="Unresolved Mention"/>
    <w:basedOn w:val="DefaultParagraphFont"/>
    <w:uiPriority w:val="99"/>
    <w:semiHidden/>
    <w:unhideWhenUsed/>
    <w:rsid w:val="005C5494"/>
    <w:rPr>
      <w:color w:val="808080"/>
      <w:shd w:val="clear" w:color="auto" w:fill="E6E6E6"/>
    </w:rPr>
  </w:style>
  <w:style w:type="character" w:styleId="CommentReference">
    <w:name w:val="annotation reference"/>
    <w:basedOn w:val="DefaultParagraphFont"/>
    <w:semiHidden/>
    <w:unhideWhenUsed/>
    <w:rsid w:val="00EB3108"/>
    <w:rPr>
      <w:sz w:val="16"/>
      <w:szCs w:val="16"/>
    </w:rPr>
  </w:style>
  <w:style w:type="paragraph" w:styleId="CommentText">
    <w:name w:val="annotation text"/>
    <w:basedOn w:val="Normal"/>
    <w:link w:val="CommentTextChar"/>
    <w:semiHidden/>
    <w:unhideWhenUsed/>
    <w:rsid w:val="00EB3108"/>
    <w:rPr>
      <w:sz w:val="20"/>
      <w:szCs w:val="20"/>
    </w:rPr>
  </w:style>
  <w:style w:type="character" w:customStyle="1" w:styleId="CommentTextChar">
    <w:name w:val="Comment Text Char"/>
    <w:basedOn w:val="DefaultParagraphFont"/>
    <w:link w:val="CommentText"/>
    <w:semiHidden/>
    <w:rsid w:val="00EB3108"/>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724548">
      <w:bodyDiv w:val="1"/>
      <w:marLeft w:val="0"/>
      <w:marRight w:val="0"/>
      <w:marTop w:val="0"/>
      <w:marBottom w:val="0"/>
      <w:divBdr>
        <w:top w:val="none" w:sz="0" w:space="0" w:color="auto"/>
        <w:left w:val="none" w:sz="0" w:space="0" w:color="auto"/>
        <w:bottom w:val="none" w:sz="0" w:space="0" w:color="auto"/>
        <w:right w:val="none" w:sz="0" w:space="0" w:color="auto"/>
      </w:divBdr>
    </w:div>
    <w:div w:id="1131938289">
      <w:bodyDiv w:val="1"/>
      <w:marLeft w:val="0"/>
      <w:marRight w:val="0"/>
      <w:marTop w:val="0"/>
      <w:marBottom w:val="0"/>
      <w:divBdr>
        <w:top w:val="none" w:sz="0" w:space="0" w:color="auto"/>
        <w:left w:val="none" w:sz="0" w:space="0" w:color="auto"/>
        <w:bottom w:val="none" w:sz="0" w:space="0" w:color="auto"/>
        <w:right w:val="none" w:sz="0" w:space="0" w:color="auto"/>
      </w:divBdr>
    </w:div>
    <w:div w:id="1205292629">
      <w:bodyDiv w:val="1"/>
      <w:marLeft w:val="0"/>
      <w:marRight w:val="0"/>
      <w:marTop w:val="0"/>
      <w:marBottom w:val="0"/>
      <w:divBdr>
        <w:top w:val="none" w:sz="0" w:space="0" w:color="auto"/>
        <w:left w:val="none" w:sz="0" w:space="0" w:color="auto"/>
        <w:bottom w:val="none" w:sz="0" w:space="0" w:color="auto"/>
        <w:right w:val="none" w:sz="0" w:space="0" w:color="auto"/>
      </w:divBdr>
    </w:div>
    <w:div w:id="188848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tegrity@delwp.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ma:contentTypeID="0x0101004A14958F60291A4198FFBC354394E03D01004D3EE27503D34740B9D7403B8EBD5EF8" ma:contentTypeVersion="20" ma:contentTypeDescription="" ma:contentTypeScope="" ma:versionID="50d4445b9f668bccf344d1af09d60943">
  <xsd:schema xmlns:xsd="http://www.w3.org/2001/XMLSchema" xmlns:xs="http://www.w3.org/2001/XMLSchema" xmlns:p="http://schemas.microsoft.com/office/2006/metadata/properties" xmlns:ns2="59d12b91-b74f-4b49-b03f-48db312c8174" xmlns:ns3="9fd47c19-1c4a-4d7d-b342-c10cef269344" xmlns:ns4="5b2ece2f-c653-47d4-a7b1-860eaaa9a65c" targetNamespace="http://schemas.microsoft.com/office/2006/metadata/properties" ma:root="true" ma:fieldsID="6aa2b19c34f69e8551dbf6b2b5c943d0" ns2:_="" ns3:_="" ns4:_="">
    <xsd:import namespace="59d12b91-b74f-4b49-b03f-48db312c8174"/>
    <xsd:import namespace="9fd47c19-1c4a-4d7d-b342-c10cef269344"/>
    <xsd:import namespace="5b2ece2f-c653-47d4-a7b1-860eaaa9a65c"/>
    <xsd:element name="properties">
      <xsd:complexType>
        <xsd:sequence>
          <xsd:element name="documentManagement">
            <xsd:complexType>
              <xsd:all>
                <xsd:element ref="ns2:Description" minOccurs="0"/>
                <xsd:element ref="ns2:Category" minOccurs="0"/>
                <xsd:element ref="ns2:f4846465a873416ea15d13b313100837" minOccurs="0"/>
                <xsd:element ref="ns3:TaxCatchAll" minOccurs="0"/>
                <xsd:element ref="ns3:TaxCatchAllLabel" minOccurs="0"/>
                <xsd:element ref="ns2:kd07e229dd824ba4b268be29dcd5f53f" minOccurs="0"/>
                <xsd:element ref="ns2:AdaLastReviewedDate" minOccurs="0"/>
                <xsd:element ref="ns2:AdaPostcode" minOccurs="0"/>
                <xsd:element ref="ns2:g480147d4c4f4d95bd6fd5538b67e268" minOccurs="0"/>
                <xsd:element ref="ns4:AdaRelatedProcedures" minOccurs="0"/>
                <xsd:element ref="ns4:AdaRelatedForms" minOccurs="0"/>
                <xsd:element ref="ns4:AdaRelatedTemplates" minOccurs="0"/>
                <xsd:element ref="ns4:AdaRelatedSupportingDocuments" minOccurs="0"/>
                <xsd:element ref="ns4:MediaServiceMetadata" minOccurs="0"/>
                <xsd:element ref="ns4: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12b91-b74f-4b49-b03f-48db312c8174"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AdaDescription" ma:readOnly="false">
      <xsd:simpleType>
        <xsd:restriction base="dms:Note">
          <xsd:maxLength value="255"/>
        </xsd:restriction>
      </xsd:simpleType>
    </xsd:element>
    <xsd:element name="Category" ma:index="9" nillable="true" ma:displayName="Category" ma:internalName="AdaCategory">
      <xsd:complexType>
        <xsd:complexContent>
          <xsd:extension base="dms:MultiChoice">
            <xsd:sequence>
              <xsd:element name="Value" maxOccurs="unbounded" minOccurs="0" nillable="true">
                <xsd:simpleType>
                  <xsd:restriction base="dms:Choice">
                    <xsd:enumeration value="Communications"/>
                    <xsd:enumeration value="Finance"/>
                    <xsd:enumeration value="Governance"/>
                    <xsd:enumeration value="Integrity"/>
                    <xsd:enumeration value="Legal"/>
                    <xsd:enumeration value="Ministerial"/>
                    <xsd:enumeration value="People"/>
                    <xsd:enumeration value="Planning"/>
                    <xsd:enumeration value="Procurement"/>
                    <xsd:enumeration value="Safety and Wellbeing"/>
                    <xsd:enumeration value="Technology"/>
                    <xsd:enumeration value="Workplace"/>
                  </xsd:restriction>
                </xsd:simpleType>
              </xsd:element>
            </xsd:sequence>
          </xsd:extension>
        </xsd:complexContent>
      </xsd:complexType>
    </xsd:element>
    <xsd:element name="f4846465a873416ea15d13b313100837" ma:index="10" nillable="true" ma:taxonomy="true" ma:internalName="f4846465a873416ea15d13b313100837" ma:taxonomyFieldName="AdaOwningGroup" ma:displayName="Owning Group" ma:readOnly="false" ma:default="" ma:fieldId="{f4846465-a873-416e-a15d-13b313100837}" ma:taxonomyMulti="true" ma:sspId="797aeec6-0273-40f2-ab3e-beee73212332" ma:termSetId="b84e91f5-9588-4800-b685-65376ab0378c" ma:anchorId="00000000-0000-0000-0000-000000000000" ma:open="false" ma:isKeyword="false">
      <xsd:complexType>
        <xsd:sequence>
          <xsd:element ref="pc:Terms" minOccurs="0" maxOccurs="1"/>
        </xsd:sequence>
      </xsd:complexType>
    </xsd:element>
    <xsd:element name="kd07e229dd824ba4b268be29dcd5f53f" ma:index="14" nillable="true" ma:taxonomy="true" ma:internalName="kd07e229dd824ba4b268be29dcd5f53f" ma:taxonomyFieldName="AdaRegion" ma:displayName="Region" ma:default="" ma:fieldId="{4d07e229-dd82-4ba4-b268-be29dcd5f53f}" ma:taxonomyMulti="true" ma:sspId="797aeec6-0273-40f2-ab3e-beee73212332" ma:termSetId="fda0868d-a459-43cd-b75f-08584d693a0c" ma:anchorId="00000000-0000-0000-0000-000000000000" ma:open="false" ma:isKeyword="false">
      <xsd:complexType>
        <xsd:sequence>
          <xsd:element ref="pc:Terms" minOccurs="0" maxOccurs="1"/>
        </xsd:sequence>
      </xsd:complexType>
    </xsd:element>
    <xsd:element name="AdaLastReviewedDate" ma:index="16" nillable="true" ma:displayName="Last Reviewed Date" ma:format="DateOnly" ma:internalName="AdaLastReviewedDate">
      <xsd:simpleType>
        <xsd:restriction base="dms:DateTime"/>
      </xsd:simpleType>
    </xsd:element>
    <xsd:element name="AdaPostcode" ma:index="17" nillable="true" ma:displayName="Postcode" ma:internalName="AdaPostcode">
      <xsd:simpleType>
        <xsd:restriction base="dms:Text">
          <xsd:maxLength value="255"/>
        </xsd:restriction>
      </xsd:simpleType>
    </xsd:element>
    <xsd:element name="g480147d4c4f4d95bd6fd5538b67e268" ma:index="18" nillable="true" ma:taxonomy="true" ma:internalName="g480147d4c4f4d95bd6fd5538b67e268" ma:taxonomyFieldName="AdaAskAdaKeyword" ma:displayName="Ask Ada keyword" ma:default="" ma:fieldId="{0480147d-4c4f-4d95-bd6f-d5538b67e268}" ma:taxonomyMulti="true" ma:sspId="797aeec6-0273-40f2-ab3e-beee73212332" ma:termSetId="461a47f3-16c4-4c9a-907a-8a7bee37b671" ma:anchorId="00000000-0000-0000-0000-000000000000" ma:open="true" ma:isKeyword="false">
      <xsd:complexType>
        <xsd:sequence>
          <xsd:element ref="pc:Terms" minOccurs="0" maxOccurs="1"/>
        </xsd:sequence>
      </xsd:complex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15375bc-53ad-4269-9fc9-7735db0c3ee1}" ma:internalName="TaxCatchAll" ma:showField="CatchAllData" ma:web="59d12b91-b74f-4b49-b03f-48db312c817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15375bc-53ad-4269-9fc9-7735db0c3ee1}" ma:internalName="TaxCatchAllLabel" ma:readOnly="true" ma:showField="CatchAllDataLabel" ma:web="59d12b91-b74f-4b49-b03f-48db312c81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2ece2f-c653-47d4-a7b1-860eaaa9a65c" elementFormDefault="qualified">
    <xsd:import namespace="http://schemas.microsoft.com/office/2006/documentManagement/types"/>
    <xsd:import namespace="http://schemas.microsoft.com/office/infopath/2007/PartnerControls"/>
    <xsd:element name="AdaRelatedProcedures" ma:index="20" nillable="true" ma:displayName="Related Procedures" ma:list="{6aaf9a77-950a-4cf0-be57-ff200b1d6701}" ma:internalName="AdaRelatedProcedures" ma:showField="Title" ma:web="727b86e7-9171-4c89-8662-4d99b91641e8">
      <xsd:complexType>
        <xsd:complexContent>
          <xsd:extension base="dms:MultiChoiceLookup">
            <xsd:sequence>
              <xsd:element name="Value" type="dms:Lookup" maxOccurs="unbounded" minOccurs="0" nillable="true"/>
            </xsd:sequence>
          </xsd:extension>
        </xsd:complexContent>
      </xsd:complexType>
    </xsd:element>
    <xsd:element name="AdaRelatedForms" ma:index="21" nillable="true" ma:displayName="Related Forms" ma:list="{8bb687d3-e1c6-42f3-b60e-fd15d1e5c9b9}" ma:internalName="AdaRelatedForms" ma:showField="Title" ma:web="727b86e7-9171-4c89-8662-4d99b91641e8">
      <xsd:complexType>
        <xsd:complexContent>
          <xsd:extension base="dms:MultiChoiceLookup">
            <xsd:sequence>
              <xsd:element name="Value" type="dms:Lookup" maxOccurs="unbounded" minOccurs="0" nillable="true"/>
            </xsd:sequence>
          </xsd:extension>
        </xsd:complexContent>
      </xsd:complexType>
    </xsd:element>
    <xsd:element name="AdaRelatedTemplates" ma:index="22" nillable="true" ma:displayName="Related Templates" ma:list="{5f4f3df2-3c6c-4b20-bbe6-23860e366fa2}" ma:internalName="AdaRelatedTemplates" ma:showField="Title" ma:web="727b86e7-9171-4c89-8662-4d99b91641e8">
      <xsd:complexType>
        <xsd:complexContent>
          <xsd:extension base="dms:MultiChoiceLookup">
            <xsd:sequence>
              <xsd:element name="Value" type="dms:Lookup" maxOccurs="unbounded" minOccurs="0" nillable="true"/>
            </xsd:sequence>
          </xsd:extension>
        </xsd:complexContent>
      </xsd:complexType>
    </xsd:element>
    <xsd:element name="AdaRelatedSupportingDocuments" ma:index="23" nillable="true" ma:displayName="Related Supporting Documents" ma:list="{0b5f0b51-d5da-4e95-97e1-7189353e48c3}" ma:internalName="AdaRelatedSupportingDocuments" ma:showField="Title" ma:web="727b86e7-9171-4c89-8662-4d99b91641e8">
      <xsd:complexType>
        <xsd:complexContent>
          <xsd:extension base="dms:MultiChoiceLookup">
            <xsd:sequence>
              <xsd:element name="Value" type="dms:Lookup" maxOccurs="unbounded" minOccurs="0" nillable="true"/>
            </xsd:sequence>
          </xsd:extension>
        </xsd:complexContent>
      </xsd:complex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20</Value>
      <Value>213</Value>
      <Value>211</Value>
      <Value>210</Value>
    </TaxCatchAll>
    <AdaLastReviewedDate xmlns="59d12b91-b74f-4b49-b03f-48db312c8174">2018-08-14T14:00:00+00:00</AdaLastReviewedDate>
    <AdaRelatedTemplates xmlns="5b2ece2f-c653-47d4-a7b1-860eaaa9a65c"/>
    <Description xmlns="59d12b91-b74f-4b49-b03f-48db312c8174" xsi:nil="true"/>
    <Category xmlns="59d12b91-b74f-4b49-b03f-48db312c8174">
      <Value>Integrity</Value>
      <Value>People</Value>
    </Category>
    <AdaRelatedSupportingDocuments xmlns="5b2ece2f-c653-47d4-a7b1-860eaaa9a65c"/>
    <kd07e229dd824ba4b268be29dcd5f53f xmlns="59d12b91-b74f-4b49-b03f-48db312c8174">
      <Terms xmlns="http://schemas.microsoft.com/office/infopath/2007/PartnerControls"/>
    </kd07e229dd824ba4b268be29dcd5f53f>
    <g480147d4c4f4d95bd6fd5538b67e268 xmlns="59d12b91-b74f-4b49-b03f-48db312c8174">
      <Terms xmlns="http://schemas.microsoft.com/office/infopath/2007/PartnerControls">
        <TermInfo xmlns="http://schemas.microsoft.com/office/infopath/2007/PartnerControls">
          <TermName xmlns="http://schemas.microsoft.com/office/infopath/2007/PartnerControls">Managing gifts, benefits and hospitality offers</TermName>
          <TermId xmlns="http://schemas.microsoft.com/office/infopath/2007/PartnerControls">c31bd76a-953d-46c2-a5b5-8fdca76cf159</TermId>
        </TermInfo>
        <TermInfo xmlns="http://schemas.microsoft.com/office/infopath/2007/PartnerControls">
          <TermName xmlns="http://schemas.microsoft.com/office/infopath/2007/PartnerControls">Providing gifts, benefits and hospitality</TermName>
          <TermId xmlns="http://schemas.microsoft.com/office/infopath/2007/PartnerControls">ae8ca7ea-9160-4319-816a-0551f5258237</TermId>
        </TermInfo>
        <TermInfo xmlns="http://schemas.microsoft.com/office/infopath/2007/PartnerControls">
          <TermName xmlns="http://schemas.microsoft.com/office/infopath/2007/PartnerControls">Hosting official business events</TermName>
          <TermId xmlns="http://schemas.microsoft.com/office/infopath/2007/PartnerControls">502c215e-0937-489e-9d55-6f453905b5a3</TermId>
        </TermInfo>
      </Terms>
    </g480147d4c4f4d95bd6fd5538b67e268>
    <AdaPostcode xmlns="59d12b91-b74f-4b49-b03f-48db312c8174" xsi:nil="true"/>
    <AdaRelatedProcedures xmlns="5b2ece2f-c653-47d4-a7b1-860eaaa9a65c"/>
    <f4846465a873416ea15d13b313100837 xmlns="59d12b91-b74f-4b49-b03f-48db312c8174">
      <Terms xmlns="http://schemas.microsoft.com/office/infopath/2007/PartnerControls">
        <TermInfo xmlns="http://schemas.microsoft.com/office/infopath/2007/PartnerControls">
          <TermName xmlns="http://schemas.microsoft.com/office/infopath/2007/PartnerControls">Legal Services</TermName>
          <TermId xmlns="http://schemas.microsoft.com/office/infopath/2007/PartnerControls">71c84e21-85dc-47a4-89c9-879f4813ba3b</TermId>
        </TermInfo>
      </Terms>
    </f4846465a873416ea15d13b313100837>
    <AdaRelatedForms xmlns="5b2ece2f-c653-47d4-a7b1-860eaaa9a65c">
      <Value>284</Value>
      <Value>285</Value>
    </AdaRelatedForms>
    <SharedWithUsers xmlns="59d12b91-b74f-4b49-b03f-48db312c8174">
      <UserInfo>
        <DisplayName>Michelle W Pond (DELWP)</DisplayName>
        <AccountId>283</AccountId>
        <AccountType/>
      </UserInfo>
      <UserInfo>
        <DisplayName>Kathryn Anderson (DELWP)</DisplayName>
        <AccountId>508</AccountId>
        <AccountType/>
      </UserInfo>
      <UserInfo>
        <DisplayName>Clare McKellar (DELWP)</DisplayName>
        <AccountId>461</AccountId>
        <AccountType/>
      </UserInfo>
      <UserInfo>
        <DisplayName>Kerrily E North (DELWP)</DisplayName>
        <AccountId>215</AccountId>
        <AccountType/>
      </UserInfo>
    </SharedWithUsers>
  </documentManagement>
</p:properti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98307-342D-434F-BE95-B8903ECDB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12b91-b74f-4b49-b03f-48db312c8174"/>
    <ds:schemaRef ds:uri="9fd47c19-1c4a-4d7d-b342-c10cef269344"/>
    <ds:schemaRef ds:uri="5b2ece2f-c653-47d4-a7b1-860eaaa9a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C9561-43FB-44AA-A6C9-E1174DBD0D66}">
  <ds:schemaRefs>
    <ds:schemaRef ds:uri="Microsoft.SharePoint.Taxonomy.ContentTypeSync"/>
  </ds:schemaRefs>
</ds:datastoreItem>
</file>

<file path=customXml/itemProps3.xml><?xml version="1.0" encoding="utf-8"?>
<ds:datastoreItem xmlns:ds="http://schemas.openxmlformats.org/officeDocument/2006/customXml" ds:itemID="{6B4A16AB-656A-4D5F-A755-E21C57088865}">
  <ds:schemaRefs>
    <ds:schemaRef ds:uri="http://schemas.microsoft.com/sharepoint/v3/contenttype/forms"/>
  </ds:schemaRefs>
</ds:datastoreItem>
</file>

<file path=customXml/itemProps4.xml><?xml version="1.0" encoding="utf-8"?>
<ds:datastoreItem xmlns:ds="http://schemas.openxmlformats.org/officeDocument/2006/customXml" ds:itemID="{78D15CC4-0294-464A-8A52-4A39A56865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d12b91-b74f-4b49-b03f-48db312c8174"/>
    <ds:schemaRef ds:uri="5b2ece2f-c653-47d4-a7b1-860eaaa9a65c"/>
    <ds:schemaRef ds:uri="http://purl.org/dc/elements/1.1/"/>
    <ds:schemaRef ds:uri="http://schemas.microsoft.com/office/2006/metadata/properties"/>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D4F9DEBE-6DB3-4623-9E85-0CD18A43F29F}">
  <ds:schemaRefs>
    <ds:schemaRef ds:uri="http://schemas.microsoft.com/sharepoint/events"/>
  </ds:schemaRefs>
</ds:datastoreItem>
</file>

<file path=customXml/itemProps6.xml><?xml version="1.0" encoding="utf-8"?>
<ds:datastoreItem xmlns:ds="http://schemas.openxmlformats.org/officeDocument/2006/customXml" ds:itemID="{50BE8904-517E-4A6F-A404-AB3F1027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1044</Words>
  <Characters>5954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Gifts benefits and hospitality policy</vt:lpstr>
    </vt:vector>
  </TitlesOfParts>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Gifts benefits and hospitality policy</dc:title>
  <dc:creator/>
  <cp:lastModifiedBy/>
  <cp:revision>1</cp:revision>
  <dcterms:created xsi:type="dcterms:W3CDTF">2019-07-30T06:44:00Z</dcterms:created>
  <dcterms:modified xsi:type="dcterms:W3CDTF">2019-07-30T06:44:00Z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0x0101004A14958F60291A4198FFBC354394E03D01004D3EE27503D34740B9D7403B8EBD5EF8</vt:lpwstr>
  </property>
  <property fmtid="{D5CDD505-2E9C-101B-9397-08002B2CF9AE}" pid="3" name="AdaRegion">
    <vt:lpwstr/>
  </property>
  <property fmtid="{D5CDD505-2E9C-101B-9397-08002B2CF9AE}" pid="4" name="AdaAskAdaKeyword">
    <vt:lpwstr>210;#Managing gifts, benefits and hospitality offers|c31bd76a-953d-46c2-a5b5-8fdca76cf159;#211;#Providing gifts, benefits and hospitality|ae8ca7ea-9160-4319-816a-0551f5258237;#213;#Hosting official business events|502c215e-0937-489e-9d55-6f453905b5a3</vt:lpwstr>
  </property>
  <property fmtid="{D5CDD505-2E9C-101B-9397-08002B2CF9AE}" pid="5" name="AdaOwningGroup">
    <vt:lpwstr>20;#Legal Services|71c84e21-85dc-47a4-89c9-879f4813ba3b</vt:lpwstr>
  </property>
  <property fmtid="{D5CDD505-2E9C-101B-9397-08002B2CF9AE}" pid="6" name="Lex ID number">
    <vt:lpwstr>n/a</vt:lpwstr>
  </property>
  <property fmtid="{D5CDD505-2E9C-101B-9397-08002B2CF9AE}" pid="7" name="_dlc_DocIdItemGuid">
    <vt:lpwstr>822e98a9-8258-4e4b-961b-01f88011e75e</vt:lpwstr>
  </property>
  <property fmtid="{D5CDD505-2E9C-101B-9397-08002B2CF9AE}" pid="8" name="Section">
    <vt:lpwstr/>
  </property>
  <property fmtid="{D5CDD505-2E9C-101B-9397-08002B2CF9AE}" pid="9" name="URL">
    <vt:lpwstr>, </vt:lpwstr>
  </property>
  <property fmtid="{D5CDD505-2E9C-101B-9397-08002B2CF9AE}" pid="10" name="Language">
    <vt:lpwstr>English</vt:lpwstr>
  </property>
  <property fmtid="{D5CDD505-2E9C-101B-9397-08002B2CF9AE}" pid="11" name="Sub-Section">
    <vt:lpwstr/>
  </property>
  <property fmtid="{D5CDD505-2E9C-101B-9397-08002B2CF9AE}" pid="12" name="Agency">
    <vt:lpwstr>1;#Department of Environment, Land, Water and Planning|607a3f87-1228-4cd9-82a5-076aa8776274</vt:lpwstr>
  </property>
  <property fmtid="{D5CDD505-2E9C-101B-9397-08002B2CF9AE}" pid="13" name="pd01c257034b4e86b1f58279a3bd54c6">
    <vt:lpwstr>Unclassified|7fa379f4-4aba-4692-ab80-7d39d3a23cf4</vt:lpwstr>
  </property>
  <property fmtid="{D5CDD505-2E9C-101B-9397-08002B2CF9AE}" pid="14" name="Branch">
    <vt:lpwstr>10;#Legislation and Statutory Services|89b029a3-0123-441e-8ecf-5df7b7d84838</vt:lpwstr>
  </property>
  <property fmtid="{D5CDD505-2E9C-101B-9397-08002B2CF9AE}" pid="15" name="ece32f50ba964e1fbf627a9d83fe6c01">
    <vt:lpwstr>Department of Environment, Land, Water and Planning|607a3f87-1228-4cd9-82a5-076aa8776274</vt:lpwstr>
  </property>
  <property fmtid="{D5CDD505-2E9C-101B-9397-08002B2CF9AE}" pid="16" name="TaxCatchAll">
    <vt:lpwstr>10;#Legislation and Statutory Services|89b029a3-0123-441e-8ecf-5df7b7d84838;#6;#Legal Services|2a2f70da-7efa-4af9-8e32-72af9ec94e35;#5;#Corporate Services|583021de-5b88-4fc0-9d26-f0e13a42b826;#3;#Unclassified|7fa379f4-4aba-4692-ab80-7d39d3a23cf4;#2;#FOUO|</vt:lpwstr>
  </property>
  <property fmtid="{D5CDD505-2E9C-101B-9397-08002B2CF9AE}" pid="17" name="ic50d0a05a8e4d9791dac67f8a1e716c">
    <vt:lpwstr>Corporate Services|583021de-5b88-4fc0-9d26-f0e13a42b826</vt:lpwstr>
  </property>
  <property fmtid="{D5CDD505-2E9C-101B-9397-08002B2CF9AE}" pid="18" name="Division">
    <vt:lpwstr>6;#Legal Services|2a2f70da-7efa-4af9-8e32-72af9ec94e35</vt:lpwstr>
  </property>
  <property fmtid="{D5CDD505-2E9C-101B-9397-08002B2CF9AE}" pid="19" name="n771d69a070c4babbf278c67c8a2b859">
    <vt:lpwstr>Legal Services|2a2f70da-7efa-4af9-8e32-72af9ec94e35</vt:lpwstr>
  </property>
  <property fmtid="{D5CDD505-2E9C-101B-9397-08002B2CF9AE}" pid="20" name="mfe9accc5a0b4653a7b513b67ffd122d">
    <vt:lpwstr>Legislation and Statutory Services|89b029a3-0123-441e-8ecf-5df7b7d84838</vt:lpwstr>
  </property>
  <property fmtid="{D5CDD505-2E9C-101B-9397-08002B2CF9AE}" pid="21" name="Dissemination Limiting Marker">
    <vt:lpwstr>2;#FOUO|955eb6fc-b35a-4808-8aa5-31e514fa3f26</vt:lpwstr>
  </property>
  <property fmtid="{D5CDD505-2E9C-101B-9397-08002B2CF9AE}" pid="22" name="Group1">
    <vt:lpwstr>5;#Corporate Services|583021de-5b88-4fc0-9d26-f0e13a42b826</vt:lpwstr>
  </property>
  <property fmtid="{D5CDD505-2E9C-101B-9397-08002B2CF9AE}" pid="23" name="fb3179c379644f499d7166d0c985669b">
    <vt:lpwstr>FOUO|955eb6fc-b35a-4808-8aa5-31e514fa3f26</vt:lpwstr>
  </property>
  <property fmtid="{D5CDD505-2E9C-101B-9397-08002B2CF9AE}" pid="24" name="Security Classification">
    <vt:lpwstr>3;#Unclassified|7fa379f4-4aba-4692-ab80-7d39d3a23cf4</vt:lpwstr>
  </property>
  <property fmtid="{D5CDD505-2E9C-101B-9397-08002B2CF9AE}" pid="25" name="a25c4e3633654d669cbaa09ae6b70789">
    <vt:lpwstr/>
  </property>
  <property fmtid="{D5CDD505-2E9C-101B-9397-08002B2CF9AE}" pid="26" name="SharedWithUsers">
    <vt:lpwstr>283;#Michelle W Pond (DELWP);#508;#Kathryn Anderson (DELWP);#461;#Clare McKellar (DELWP);#215;#Kerrily E North (DELWP)</vt:lpwstr>
  </property>
  <property fmtid="{D5CDD505-2E9C-101B-9397-08002B2CF9AE}" pid="27" name="k1bd994a94c2413797db3bab8f123f6f">
    <vt:lpwstr/>
  </property>
</Properties>
</file>