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D4B2" w14:textId="1C25E95F" w:rsidR="001E3EE8" w:rsidRDefault="00E02D85" w:rsidP="001E3EE8">
      <w:pPr>
        <w:pStyle w:val="Heading2"/>
        <w:spacing w:before="100" w:beforeAutospacing="1"/>
        <w:jc w:val="center"/>
        <w:rPr>
          <w:lang w:val="en"/>
        </w:rPr>
      </w:pPr>
      <w:r w:rsidRPr="00856520">
        <w:rPr>
          <w:lang w:val="en"/>
        </w:rPr>
        <w:t xml:space="preserve">Conflict of </w:t>
      </w:r>
      <w:r w:rsidR="00C21683">
        <w:rPr>
          <w:lang w:val="en"/>
        </w:rPr>
        <w:t>i</w:t>
      </w:r>
      <w:r w:rsidRPr="00856520">
        <w:rPr>
          <w:lang w:val="en"/>
        </w:rPr>
        <w:t>nterest</w:t>
      </w:r>
    </w:p>
    <w:p w14:paraId="15DCD4B3" w14:textId="77777777" w:rsidR="00E02D85" w:rsidRPr="00856520" w:rsidRDefault="007D6A79" w:rsidP="001E3EE8">
      <w:pPr>
        <w:pStyle w:val="Heading2"/>
        <w:spacing w:before="100" w:beforeAutospacing="1"/>
        <w:jc w:val="center"/>
        <w:rPr>
          <w:lang w:val="en"/>
        </w:rPr>
      </w:pPr>
      <w:r>
        <w:rPr>
          <w:lang w:val="en"/>
        </w:rPr>
        <w:t>Model p</w:t>
      </w:r>
      <w:r w:rsidR="00E02D85" w:rsidRPr="00856520">
        <w:rPr>
          <w:lang w:val="en"/>
        </w:rPr>
        <w:t>olicy</w:t>
      </w:r>
      <w:r w:rsidR="00A26213">
        <w:rPr>
          <w:lang w:val="en"/>
        </w:rPr>
        <w:t xml:space="preserve"> and procedure</w:t>
      </w:r>
    </w:p>
    <w:p w14:paraId="15DCD4B4" w14:textId="77777777" w:rsidR="006A2E91" w:rsidRDefault="006A2E91" w:rsidP="006A2E91">
      <w:pPr>
        <w:rPr>
          <w:lang w:val="en" w:eastAsia="en-AU"/>
        </w:rPr>
      </w:pPr>
    </w:p>
    <w:p w14:paraId="15DCD4B5" w14:textId="77777777" w:rsidR="006A2E91" w:rsidRDefault="006A2E91" w:rsidP="006A2E91">
      <w:pPr>
        <w:rPr>
          <w:lang w:val="en" w:eastAsia="en-AU"/>
        </w:rPr>
      </w:pPr>
    </w:p>
    <w:p w14:paraId="15DCD4B6" w14:textId="77777777" w:rsidR="00E02D85" w:rsidRPr="0096255A" w:rsidRDefault="00E02D85" w:rsidP="00185045">
      <w:pPr>
        <w:pStyle w:val="Heading1"/>
        <w:spacing w:before="200"/>
        <w:rPr>
          <w:rFonts w:eastAsia="Times New Roman"/>
          <w:lang w:val="en" w:eastAsia="en-AU"/>
        </w:rPr>
      </w:pPr>
      <w:r w:rsidRPr="0096255A">
        <w:rPr>
          <w:rFonts w:eastAsia="Times New Roman"/>
          <w:lang w:val="en" w:eastAsia="en-AU"/>
        </w:rPr>
        <w:t>Introduction</w:t>
      </w:r>
    </w:p>
    <w:p w14:paraId="15DCD4B7" w14:textId="723D2D99" w:rsidR="00E02D85" w:rsidRPr="00856520" w:rsidRDefault="00E02D85" w:rsidP="00621EDF">
      <w:pPr>
        <w:rPr>
          <w:lang w:val="en" w:eastAsia="en-AU"/>
        </w:rPr>
      </w:pPr>
      <w:r w:rsidRPr="00856520">
        <w:rPr>
          <w:lang w:val="en" w:eastAsia="en-AU"/>
        </w:rPr>
        <w:t xml:space="preserve">The integrity of </w:t>
      </w:r>
      <w:r w:rsidR="00856520" w:rsidRPr="008E3280">
        <w:rPr>
          <w:color w:val="FF0000"/>
          <w:lang w:val="en" w:eastAsia="en-AU"/>
        </w:rPr>
        <w:t xml:space="preserve">XXX </w:t>
      </w:r>
      <w:r w:rsidR="00856520" w:rsidRPr="00856520">
        <w:rPr>
          <w:lang w:val="en" w:eastAsia="en-AU"/>
        </w:rPr>
        <w:t>committee of management</w:t>
      </w:r>
      <w:r w:rsidRPr="00856520">
        <w:rPr>
          <w:lang w:val="en" w:eastAsia="en-AU"/>
        </w:rPr>
        <w:t xml:space="preserve"> is critical to </w:t>
      </w:r>
      <w:r w:rsidR="00856520" w:rsidRPr="00856520">
        <w:rPr>
          <w:lang w:val="en" w:eastAsia="en-AU"/>
        </w:rPr>
        <w:t>its function and</w:t>
      </w:r>
      <w:r w:rsidRPr="00856520">
        <w:rPr>
          <w:lang w:val="en" w:eastAsia="en-AU"/>
        </w:rPr>
        <w:t xml:space="preserve"> acceptance in the Victorian community as a provider of services for</w:t>
      </w:r>
      <w:r w:rsidR="00C21683">
        <w:rPr>
          <w:lang w:val="en" w:eastAsia="en-AU"/>
        </w:rPr>
        <w:t>,</w:t>
      </w:r>
      <w:r w:rsidRPr="00856520">
        <w:rPr>
          <w:lang w:val="en" w:eastAsia="en-AU"/>
        </w:rPr>
        <w:t xml:space="preserve"> and on behalf of</w:t>
      </w:r>
      <w:r w:rsidR="00C21683">
        <w:rPr>
          <w:lang w:val="en" w:eastAsia="en-AU"/>
        </w:rPr>
        <w:t>,</w:t>
      </w:r>
      <w:r w:rsidRPr="00856520">
        <w:rPr>
          <w:lang w:val="en" w:eastAsia="en-AU"/>
        </w:rPr>
        <w:t xml:space="preserve"> the community.</w:t>
      </w:r>
    </w:p>
    <w:p w14:paraId="15DCD4B8" w14:textId="77777777" w:rsidR="00E02D85" w:rsidRPr="00856520" w:rsidRDefault="00E02D85" w:rsidP="00621EDF">
      <w:pPr>
        <w:rPr>
          <w:lang w:val="en" w:eastAsia="en-AU"/>
        </w:rPr>
      </w:pPr>
      <w:r w:rsidRPr="00856520">
        <w:rPr>
          <w:lang w:val="en" w:eastAsia="en-AU"/>
        </w:rPr>
        <w:t xml:space="preserve">Conflicts of interests can seriously affect the integrity of </w:t>
      </w:r>
      <w:r w:rsidR="00856520" w:rsidRPr="00856520">
        <w:rPr>
          <w:lang w:val="en" w:eastAsia="en-AU"/>
        </w:rPr>
        <w:t xml:space="preserve">committee </w:t>
      </w:r>
      <w:r w:rsidRPr="00856520">
        <w:rPr>
          <w:lang w:val="en" w:eastAsia="en-AU"/>
        </w:rPr>
        <w:t xml:space="preserve">work. Unmanaged conflicts undermine trust and confidence that </w:t>
      </w:r>
      <w:r w:rsidR="00856520" w:rsidRPr="00856520">
        <w:rPr>
          <w:lang w:val="en" w:eastAsia="en-AU"/>
        </w:rPr>
        <w:t>a committee’s</w:t>
      </w:r>
      <w:r w:rsidRPr="00856520">
        <w:rPr>
          <w:lang w:val="en" w:eastAsia="en-AU"/>
        </w:rPr>
        <w:t xml:space="preserve"> work is delivered fairly and transparently, without favour and without bias.</w:t>
      </w:r>
    </w:p>
    <w:p w14:paraId="15DCD4B9" w14:textId="77777777" w:rsidR="00E02D85" w:rsidRPr="0096255A" w:rsidRDefault="00E02D85" w:rsidP="00185045">
      <w:pPr>
        <w:pStyle w:val="Heading1"/>
        <w:spacing w:before="200"/>
        <w:rPr>
          <w:rFonts w:eastAsia="Times New Roman"/>
          <w:lang w:val="en" w:eastAsia="en-AU"/>
        </w:rPr>
      </w:pPr>
      <w:r w:rsidRPr="0096255A">
        <w:rPr>
          <w:rFonts w:eastAsia="Times New Roman"/>
          <w:lang w:val="en" w:eastAsia="en-AU"/>
        </w:rPr>
        <w:t>Purpose</w:t>
      </w:r>
    </w:p>
    <w:p w14:paraId="15DCD4BA" w14:textId="77777777" w:rsidR="00E02D85" w:rsidRPr="00856520" w:rsidRDefault="00E02D85" w:rsidP="00621EDF">
      <w:pPr>
        <w:rPr>
          <w:lang w:val="en" w:eastAsia="en-AU"/>
        </w:rPr>
      </w:pPr>
      <w:r w:rsidRPr="00856520">
        <w:rPr>
          <w:lang w:val="en" w:eastAsia="en-AU"/>
        </w:rPr>
        <w:t>This policy outlines the</w:t>
      </w:r>
      <w:r w:rsidRPr="008E3280">
        <w:rPr>
          <w:color w:val="FF0000"/>
          <w:lang w:val="en" w:eastAsia="en-AU"/>
        </w:rPr>
        <w:t xml:space="preserve"> </w:t>
      </w:r>
      <w:r w:rsidR="00856520" w:rsidRPr="008E3280">
        <w:rPr>
          <w:color w:val="FF0000"/>
          <w:lang w:val="en" w:eastAsia="en-AU"/>
        </w:rPr>
        <w:t xml:space="preserve">XXXX </w:t>
      </w:r>
      <w:r w:rsidR="00856520" w:rsidRPr="00856520">
        <w:rPr>
          <w:lang w:val="en" w:eastAsia="en-AU"/>
        </w:rPr>
        <w:t xml:space="preserve">committee of management </w:t>
      </w:r>
      <w:r w:rsidRPr="00856520">
        <w:rPr>
          <w:lang w:val="en" w:eastAsia="en-AU"/>
        </w:rPr>
        <w:t>approach to identifying and managing conflicts of interests including:</w:t>
      </w:r>
    </w:p>
    <w:p w14:paraId="15DCD4BB" w14:textId="77777777" w:rsidR="00E02D85" w:rsidRPr="00E23CB1" w:rsidRDefault="00E02D85" w:rsidP="006A2E91">
      <w:pPr>
        <w:pStyle w:val="ListParagraph"/>
        <w:numPr>
          <w:ilvl w:val="0"/>
          <w:numId w:val="8"/>
        </w:numPr>
        <w:ind w:left="714" w:hanging="357"/>
        <w:contextualSpacing w:val="0"/>
        <w:rPr>
          <w:sz w:val="20"/>
          <w:szCs w:val="20"/>
          <w:lang w:val="en" w:eastAsia="en-AU"/>
        </w:rPr>
      </w:pPr>
      <w:r w:rsidRPr="00E23CB1">
        <w:rPr>
          <w:sz w:val="20"/>
          <w:szCs w:val="20"/>
          <w:lang w:val="en" w:eastAsia="en-AU"/>
        </w:rPr>
        <w:t>expectations for managing conflicts of interest</w:t>
      </w:r>
    </w:p>
    <w:p w14:paraId="15DCD4BC" w14:textId="77777777" w:rsidR="00E02D85" w:rsidRPr="00E23CB1" w:rsidRDefault="00E02D85" w:rsidP="006A2E91">
      <w:pPr>
        <w:pStyle w:val="ListParagraph"/>
        <w:numPr>
          <w:ilvl w:val="0"/>
          <w:numId w:val="8"/>
        </w:numPr>
        <w:ind w:left="714" w:hanging="357"/>
        <w:contextualSpacing w:val="0"/>
        <w:rPr>
          <w:sz w:val="20"/>
          <w:szCs w:val="20"/>
          <w:lang w:val="en" w:eastAsia="en-AU"/>
        </w:rPr>
      </w:pPr>
      <w:r w:rsidRPr="00E23CB1">
        <w:rPr>
          <w:sz w:val="20"/>
          <w:szCs w:val="20"/>
          <w:lang w:val="en" w:eastAsia="en-AU"/>
        </w:rPr>
        <w:t>guidance for identifying conflicts of interest</w:t>
      </w:r>
    </w:p>
    <w:p w14:paraId="15DCD4BD" w14:textId="77777777" w:rsidR="00E02D85" w:rsidRPr="00E23CB1" w:rsidRDefault="00E02D85" w:rsidP="006A2E91">
      <w:pPr>
        <w:pStyle w:val="ListParagraph"/>
        <w:numPr>
          <w:ilvl w:val="0"/>
          <w:numId w:val="8"/>
        </w:numPr>
        <w:ind w:left="714" w:hanging="357"/>
        <w:contextualSpacing w:val="0"/>
        <w:rPr>
          <w:sz w:val="20"/>
          <w:szCs w:val="20"/>
          <w:lang w:val="en" w:eastAsia="en-AU"/>
        </w:rPr>
      </w:pPr>
      <w:r w:rsidRPr="00E23CB1">
        <w:rPr>
          <w:sz w:val="20"/>
          <w:szCs w:val="20"/>
          <w:lang w:val="en" w:eastAsia="en-AU"/>
        </w:rPr>
        <w:t>guidance for keeping proper records</w:t>
      </w:r>
    </w:p>
    <w:p w14:paraId="15DCD4BE" w14:textId="77777777" w:rsidR="00E02D85" w:rsidRPr="00E23CB1" w:rsidRDefault="00E02D85" w:rsidP="006A2E91">
      <w:pPr>
        <w:pStyle w:val="ListParagraph"/>
        <w:numPr>
          <w:ilvl w:val="0"/>
          <w:numId w:val="8"/>
        </w:numPr>
        <w:ind w:left="714" w:hanging="357"/>
        <w:contextualSpacing w:val="0"/>
        <w:rPr>
          <w:sz w:val="20"/>
          <w:szCs w:val="20"/>
          <w:lang w:val="en" w:eastAsia="en-AU"/>
        </w:rPr>
      </w:pPr>
      <w:r w:rsidRPr="00E23CB1">
        <w:rPr>
          <w:sz w:val="20"/>
          <w:szCs w:val="20"/>
          <w:lang w:val="en" w:eastAsia="en-AU"/>
        </w:rPr>
        <w:t>guidance for managing conflicts of interest.</w:t>
      </w:r>
    </w:p>
    <w:p w14:paraId="15DCD4BF" w14:textId="0B3EE13A" w:rsidR="00E02D85" w:rsidRPr="0096255A" w:rsidRDefault="00E02D85" w:rsidP="00185045">
      <w:pPr>
        <w:pStyle w:val="Heading1"/>
        <w:spacing w:before="200"/>
        <w:rPr>
          <w:rFonts w:eastAsia="Times New Roman"/>
          <w:lang w:val="en" w:eastAsia="en-AU"/>
        </w:rPr>
      </w:pPr>
      <w:r w:rsidRPr="0096255A">
        <w:rPr>
          <w:rFonts w:eastAsia="Times New Roman"/>
          <w:lang w:val="en" w:eastAsia="en-AU"/>
        </w:rPr>
        <w:t xml:space="preserve">Statement of </w:t>
      </w:r>
      <w:r w:rsidR="004F3F70">
        <w:rPr>
          <w:rFonts w:eastAsia="Times New Roman"/>
          <w:lang w:val="en" w:eastAsia="en-AU"/>
        </w:rPr>
        <w:t>p</w:t>
      </w:r>
      <w:r w:rsidRPr="0096255A">
        <w:rPr>
          <w:rFonts w:eastAsia="Times New Roman"/>
          <w:lang w:val="en" w:eastAsia="en-AU"/>
        </w:rPr>
        <w:t>olicy</w:t>
      </w:r>
    </w:p>
    <w:p w14:paraId="15DCD4C0" w14:textId="77777777" w:rsidR="00E02D85" w:rsidRPr="00856520" w:rsidRDefault="00E02D85" w:rsidP="00621EDF">
      <w:pPr>
        <w:rPr>
          <w:lang w:val="en" w:eastAsia="en-AU"/>
        </w:rPr>
      </w:pPr>
      <w:r w:rsidRPr="00856520">
        <w:rPr>
          <w:lang w:val="en" w:eastAsia="en-AU"/>
        </w:rPr>
        <w:t xml:space="preserve">All </w:t>
      </w:r>
      <w:r w:rsidR="00856520" w:rsidRPr="00856520">
        <w:rPr>
          <w:lang w:val="en" w:eastAsia="en-AU"/>
        </w:rPr>
        <w:t>committee members</w:t>
      </w:r>
      <w:r w:rsidRPr="00856520">
        <w:rPr>
          <w:lang w:val="en" w:eastAsia="en-AU"/>
        </w:rPr>
        <w:t xml:space="preserve"> have a duty to put the public interest above their private interests when carrying out their </w:t>
      </w:r>
      <w:r w:rsidR="00856520" w:rsidRPr="00856520">
        <w:rPr>
          <w:lang w:val="en" w:eastAsia="en-AU"/>
        </w:rPr>
        <w:t xml:space="preserve">committee </w:t>
      </w:r>
      <w:r w:rsidRPr="00856520">
        <w:rPr>
          <w:lang w:val="en" w:eastAsia="en-AU"/>
        </w:rPr>
        <w:t>functions. They are expected to:</w:t>
      </w:r>
    </w:p>
    <w:p w14:paraId="15DCD4C1" w14:textId="77777777" w:rsidR="00E02D85" w:rsidRPr="00E23CB1" w:rsidRDefault="00E02D85" w:rsidP="006A2E91">
      <w:pPr>
        <w:pStyle w:val="ListParagraph"/>
        <w:numPr>
          <w:ilvl w:val="0"/>
          <w:numId w:val="9"/>
        </w:numPr>
        <w:ind w:left="714" w:hanging="357"/>
        <w:contextualSpacing w:val="0"/>
        <w:rPr>
          <w:sz w:val="20"/>
          <w:szCs w:val="20"/>
          <w:lang w:val="en" w:eastAsia="en-AU"/>
        </w:rPr>
      </w:pPr>
      <w:r w:rsidRPr="00E23CB1">
        <w:rPr>
          <w:sz w:val="20"/>
          <w:szCs w:val="20"/>
          <w:lang w:val="en" w:eastAsia="en-AU"/>
        </w:rPr>
        <w:t>identify, declare and manage conflicts of interest effectively</w:t>
      </w:r>
    </w:p>
    <w:p w14:paraId="15DCD4C2" w14:textId="77777777" w:rsidR="00E02D85" w:rsidRPr="00E23CB1" w:rsidRDefault="00E02D85" w:rsidP="006A2E91">
      <w:pPr>
        <w:pStyle w:val="ListParagraph"/>
        <w:numPr>
          <w:ilvl w:val="0"/>
          <w:numId w:val="9"/>
        </w:numPr>
        <w:ind w:left="714" w:hanging="357"/>
        <w:contextualSpacing w:val="0"/>
        <w:rPr>
          <w:sz w:val="20"/>
          <w:szCs w:val="20"/>
          <w:lang w:val="en" w:eastAsia="en-AU"/>
        </w:rPr>
      </w:pPr>
      <w:r w:rsidRPr="00E23CB1">
        <w:rPr>
          <w:sz w:val="20"/>
          <w:szCs w:val="20"/>
          <w:lang w:val="en" w:eastAsia="en-AU"/>
        </w:rPr>
        <w:t>apply good practice principles and incorporate the effective management of any conflicts of interest into their business as usual practices</w:t>
      </w:r>
    </w:p>
    <w:p w14:paraId="15DCD4C3" w14:textId="77777777" w:rsidR="00E02D85" w:rsidRPr="00E23CB1" w:rsidRDefault="00E02D85" w:rsidP="006A2E91">
      <w:pPr>
        <w:pStyle w:val="ListParagraph"/>
        <w:numPr>
          <w:ilvl w:val="0"/>
          <w:numId w:val="9"/>
        </w:numPr>
        <w:ind w:left="714" w:hanging="357"/>
        <w:contextualSpacing w:val="0"/>
        <w:rPr>
          <w:sz w:val="20"/>
          <w:szCs w:val="20"/>
          <w:lang w:val="en" w:eastAsia="en-AU"/>
        </w:rPr>
      </w:pPr>
      <w:r w:rsidRPr="00E23CB1">
        <w:rPr>
          <w:sz w:val="20"/>
          <w:szCs w:val="20"/>
          <w:lang w:val="en" w:eastAsia="en-AU"/>
        </w:rPr>
        <w:t xml:space="preserve">abstain from any </w:t>
      </w:r>
      <w:r w:rsidR="00856520" w:rsidRPr="00E23CB1">
        <w:rPr>
          <w:sz w:val="20"/>
          <w:szCs w:val="20"/>
          <w:lang w:val="en" w:eastAsia="en-AU"/>
        </w:rPr>
        <w:t xml:space="preserve">discussion or </w:t>
      </w:r>
      <w:r w:rsidRPr="00E23CB1">
        <w:rPr>
          <w:sz w:val="20"/>
          <w:szCs w:val="20"/>
          <w:lang w:val="en" w:eastAsia="en-AU"/>
        </w:rPr>
        <w:t>decision-making process in which they could be compromised, or appear to be compromised</w:t>
      </w:r>
    </w:p>
    <w:p w14:paraId="15DCD4C4" w14:textId="77777777" w:rsidR="00E02D85" w:rsidRPr="00E23CB1" w:rsidRDefault="00E02D85" w:rsidP="006A2E91">
      <w:pPr>
        <w:pStyle w:val="ListParagraph"/>
        <w:numPr>
          <w:ilvl w:val="0"/>
          <w:numId w:val="9"/>
        </w:numPr>
        <w:ind w:left="714" w:hanging="357"/>
        <w:contextualSpacing w:val="0"/>
        <w:rPr>
          <w:sz w:val="20"/>
          <w:szCs w:val="20"/>
          <w:lang w:val="en" w:eastAsia="en-AU"/>
        </w:rPr>
      </w:pPr>
      <w:r w:rsidRPr="00E23CB1">
        <w:rPr>
          <w:sz w:val="20"/>
          <w:szCs w:val="20"/>
          <w:lang w:val="en" w:eastAsia="en-AU"/>
        </w:rPr>
        <w:t xml:space="preserve">report any conflicts of interest to the </w:t>
      </w:r>
      <w:r w:rsidR="00856520" w:rsidRPr="00E23CB1">
        <w:rPr>
          <w:sz w:val="20"/>
          <w:szCs w:val="20"/>
          <w:lang w:val="en" w:eastAsia="en-AU"/>
        </w:rPr>
        <w:t>committee chair</w:t>
      </w:r>
      <w:r w:rsidRPr="00E23CB1">
        <w:rPr>
          <w:sz w:val="20"/>
          <w:szCs w:val="20"/>
          <w:lang w:val="en" w:eastAsia="en-AU"/>
        </w:rPr>
        <w:t xml:space="preserve"> as soon as they are identified and record the details along with any associated management action</w:t>
      </w:r>
      <w:r w:rsidR="00856520" w:rsidRPr="00E23CB1">
        <w:rPr>
          <w:sz w:val="20"/>
          <w:szCs w:val="20"/>
          <w:lang w:val="en" w:eastAsia="en-AU"/>
        </w:rPr>
        <w:t>.</w:t>
      </w:r>
    </w:p>
    <w:p w14:paraId="15DCD4C5" w14:textId="77777777" w:rsidR="00E02D85" w:rsidRPr="0096255A" w:rsidRDefault="00E02D85" w:rsidP="00185045">
      <w:pPr>
        <w:pStyle w:val="Heading1"/>
        <w:spacing w:before="200"/>
        <w:rPr>
          <w:rFonts w:eastAsia="Times New Roman"/>
          <w:lang w:val="en" w:eastAsia="en-AU"/>
        </w:rPr>
      </w:pPr>
      <w:r w:rsidRPr="0096255A">
        <w:rPr>
          <w:rFonts w:eastAsia="Times New Roman"/>
          <w:lang w:val="en" w:eastAsia="en-AU"/>
        </w:rPr>
        <w:t>Guidance</w:t>
      </w:r>
    </w:p>
    <w:p w14:paraId="15DCD4C6" w14:textId="77777777" w:rsidR="00E02D85" w:rsidRPr="00E23CB1" w:rsidRDefault="00E02D85" w:rsidP="006A2E91">
      <w:pPr>
        <w:pStyle w:val="Heading4"/>
        <w:rPr>
          <w:rFonts w:ascii="Arial" w:hAnsi="Arial" w:cs="Arial"/>
        </w:rPr>
      </w:pPr>
      <w:r w:rsidRPr="00E23CB1">
        <w:rPr>
          <w:rFonts w:ascii="Arial" w:hAnsi="Arial" w:cs="Arial"/>
        </w:rPr>
        <w:t>Identifying competing or conflicts of interest</w:t>
      </w:r>
    </w:p>
    <w:p w14:paraId="15DCD4C7" w14:textId="0E40AA3C" w:rsidR="00E02D85" w:rsidRPr="00856520" w:rsidRDefault="00856520" w:rsidP="00621EDF">
      <w:pPr>
        <w:rPr>
          <w:lang w:val="en" w:eastAsia="en-AU"/>
        </w:rPr>
      </w:pPr>
      <w:r w:rsidRPr="00856520">
        <w:rPr>
          <w:lang w:val="en" w:eastAsia="en-AU"/>
        </w:rPr>
        <w:t xml:space="preserve">Committee members are closely connected to the community they represent, and often have a strong personal interest in the work of the committee. </w:t>
      </w:r>
      <w:r w:rsidR="00C21683">
        <w:rPr>
          <w:lang w:val="en" w:eastAsia="en-AU"/>
        </w:rPr>
        <w:t>A</w:t>
      </w:r>
      <w:r w:rsidR="00E02D85" w:rsidRPr="00856520">
        <w:rPr>
          <w:lang w:val="en" w:eastAsia="en-AU"/>
        </w:rPr>
        <w:t xml:space="preserve">ny actual, potential or perceived conflicts of interest </w:t>
      </w:r>
      <w:r w:rsidR="00C21683">
        <w:rPr>
          <w:lang w:val="en" w:eastAsia="en-AU"/>
        </w:rPr>
        <w:t>must be</w:t>
      </w:r>
      <w:r w:rsidR="00C21683" w:rsidRPr="00856520">
        <w:rPr>
          <w:lang w:val="en" w:eastAsia="en-AU"/>
        </w:rPr>
        <w:t xml:space="preserve"> </w:t>
      </w:r>
      <w:r w:rsidR="00E02D85" w:rsidRPr="00856520">
        <w:rPr>
          <w:lang w:val="en" w:eastAsia="en-AU"/>
        </w:rPr>
        <w:t>managed transparently and effectively. Having competing interests is not a problem in itself as long as it is identified and managed effectively.</w:t>
      </w:r>
    </w:p>
    <w:p w14:paraId="15DCD4C8" w14:textId="77777777" w:rsidR="00E02D85" w:rsidRPr="00856520" w:rsidRDefault="00E02D85" w:rsidP="00621EDF">
      <w:pPr>
        <w:rPr>
          <w:lang w:val="en" w:eastAsia="en-AU"/>
        </w:rPr>
      </w:pPr>
      <w:r w:rsidRPr="00856520">
        <w:rPr>
          <w:lang w:val="en" w:eastAsia="en-AU"/>
        </w:rPr>
        <w:t>Some common circumstances that raise a conflict of interest include:</w:t>
      </w:r>
    </w:p>
    <w:p w14:paraId="15DCD4C9" w14:textId="77777777" w:rsidR="0096255A" w:rsidRPr="006A2E91" w:rsidRDefault="0096255A" w:rsidP="00621EDF">
      <w:pPr>
        <w:ind w:firstLine="360"/>
        <w:rPr>
          <w:u w:val="single"/>
        </w:rPr>
      </w:pPr>
      <w:r w:rsidRPr="006A2E91">
        <w:rPr>
          <w:u w:val="single"/>
        </w:rPr>
        <w:t>Relationships:</w:t>
      </w:r>
    </w:p>
    <w:p w14:paraId="15DCD4CA" w14:textId="69FA7BCA" w:rsidR="00856520" w:rsidRPr="00970E53" w:rsidRDefault="0096255A" w:rsidP="006A2E91">
      <w:pPr>
        <w:pStyle w:val="ListParagraph"/>
        <w:numPr>
          <w:ilvl w:val="0"/>
          <w:numId w:val="10"/>
        </w:numPr>
        <w:ind w:left="714" w:hanging="357"/>
        <w:contextualSpacing w:val="0"/>
        <w:rPr>
          <w:sz w:val="20"/>
          <w:szCs w:val="20"/>
        </w:rPr>
      </w:pPr>
      <w:r w:rsidRPr="00970E53">
        <w:rPr>
          <w:sz w:val="20"/>
          <w:szCs w:val="20"/>
        </w:rPr>
        <w:t xml:space="preserve">close personal relationships with suppliers of services to the committee or anyone likely to be affected by </w:t>
      </w:r>
      <w:r w:rsidR="00C21683" w:rsidRPr="00186902">
        <w:rPr>
          <w:sz w:val="20"/>
          <w:szCs w:val="20"/>
        </w:rPr>
        <w:t>committee</w:t>
      </w:r>
      <w:r w:rsidR="00C21683" w:rsidRPr="00C21683">
        <w:rPr>
          <w:sz w:val="20"/>
          <w:szCs w:val="20"/>
        </w:rPr>
        <w:t xml:space="preserve"> </w:t>
      </w:r>
      <w:r w:rsidRPr="00970E53">
        <w:rPr>
          <w:sz w:val="20"/>
          <w:szCs w:val="20"/>
        </w:rPr>
        <w:t>decisions</w:t>
      </w:r>
    </w:p>
    <w:p w14:paraId="15DCD4CB" w14:textId="77777777" w:rsidR="0096255A" w:rsidRPr="00970E53" w:rsidRDefault="0096255A" w:rsidP="006A2E91">
      <w:pPr>
        <w:pStyle w:val="ListParagraph"/>
        <w:numPr>
          <w:ilvl w:val="0"/>
          <w:numId w:val="10"/>
        </w:numPr>
        <w:ind w:left="714" w:hanging="357"/>
        <w:contextualSpacing w:val="0"/>
        <w:rPr>
          <w:sz w:val="20"/>
          <w:szCs w:val="20"/>
        </w:rPr>
      </w:pPr>
      <w:r w:rsidRPr="00970E53">
        <w:rPr>
          <w:sz w:val="20"/>
          <w:szCs w:val="20"/>
        </w:rPr>
        <w:t>close relationships with people who may be employed by the committee</w:t>
      </w:r>
    </w:p>
    <w:p w14:paraId="15DCD4CC" w14:textId="10F8307F" w:rsidR="0096255A" w:rsidRPr="00970E53" w:rsidRDefault="0096255A" w:rsidP="006A2E91">
      <w:pPr>
        <w:pStyle w:val="ListParagraph"/>
        <w:numPr>
          <w:ilvl w:val="0"/>
          <w:numId w:val="10"/>
        </w:numPr>
        <w:ind w:left="714" w:hanging="357"/>
        <w:contextualSpacing w:val="0"/>
        <w:rPr>
          <w:sz w:val="20"/>
          <w:szCs w:val="20"/>
        </w:rPr>
      </w:pPr>
      <w:r w:rsidRPr="00970E53">
        <w:rPr>
          <w:sz w:val="20"/>
          <w:szCs w:val="20"/>
        </w:rPr>
        <w:lastRenderedPageBreak/>
        <w:t>close relationships with other committee members which can influence decision making</w:t>
      </w:r>
      <w:r w:rsidR="009E00DD">
        <w:rPr>
          <w:sz w:val="20"/>
          <w:szCs w:val="20"/>
        </w:rPr>
        <w:t>.</w:t>
      </w:r>
    </w:p>
    <w:p w14:paraId="15DCD4CD" w14:textId="77777777" w:rsidR="0096255A" w:rsidRPr="006A2E91" w:rsidRDefault="0096255A" w:rsidP="006A2E91">
      <w:pPr>
        <w:spacing w:before="160"/>
        <w:ind w:firstLine="357"/>
        <w:rPr>
          <w:u w:val="single"/>
        </w:rPr>
      </w:pPr>
      <w:r w:rsidRPr="006A2E91">
        <w:rPr>
          <w:u w:val="single"/>
        </w:rPr>
        <w:t>Private interests</w:t>
      </w:r>
      <w:r w:rsidR="00621EDF" w:rsidRPr="006A2E91">
        <w:rPr>
          <w:u w:val="single"/>
        </w:rPr>
        <w:t>:</w:t>
      </w:r>
    </w:p>
    <w:p w14:paraId="15DCD4CE" w14:textId="77777777" w:rsidR="0096255A" w:rsidRPr="00970E53" w:rsidRDefault="0096255A" w:rsidP="006A2E91">
      <w:pPr>
        <w:pStyle w:val="ListParagraph"/>
        <w:numPr>
          <w:ilvl w:val="0"/>
          <w:numId w:val="11"/>
        </w:numPr>
        <w:ind w:left="714" w:hanging="357"/>
        <w:contextualSpacing w:val="0"/>
        <w:rPr>
          <w:sz w:val="20"/>
          <w:szCs w:val="20"/>
        </w:rPr>
      </w:pPr>
      <w:r w:rsidRPr="00970E53">
        <w:rPr>
          <w:sz w:val="20"/>
          <w:szCs w:val="20"/>
        </w:rPr>
        <w:t>connections to other organisations that can affect or be affected by committee decisions</w:t>
      </w:r>
      <w:r w:rsidR="008E3280" w:rsidRPr="00970E53">
        <w:rPr>
          <w:sz w:val="20"/>
          <w:szCs w:val="20"/>
        </w:rPr>
        <w:t xml:space="preserve"> (e.g. sporting clubs)</w:t>
      </w:r>
    </w:p>
    <w:p w14:paraId="15DCD4CF" w14:textId="6AC6355D" w:rsidR="0096255A" w:rsidRPr="00970E53" w:rsidRDefault="0096255A" w:rsidP="006A2E91">
      <w:pPr>
        <w:pStyle w:val="ListParagraph"/>
        <w:numPr>
          <w:ilvl w:val="0"/>
          <w:numId w:val="11"/>
        </w:numPr>
        <w:ind w:left="714" w:hanging="357"/>
        <w:contextualSpacing w:val="0"/>
        <w:rPr>
          <w:sz w:val="20"/>
          <w:szCs w:val="20"/>
        </w:rPr>
      </w:pPr>
      <w:r w:rsidRPr="00970E53">
        <w:rPr>
          <w:sz w:val="20"/>
          <w:szCs w:val="20"/>
        </w:rPr>
        <w:t>interests in property that is proximate to the reserve</w:t>
      </w:r>
    </w:p>
    <w:p w14:paraId="15DCD4D0" w14:textId="1C692D43" w:rsidR="0096255A" w:rsidRPr="00970E53" w:rsidRDefault="0096255A" w:rsidP="006A2E91">
      <w:pPr>
        <w:pStyle w:val="ListParagraph"/>
        <w:numPr>
          <w:ilvl w:val="0"/>
          <w:numId w:val="11"/>
        </w:numPr>
        <w:ind w:left="714" w:hanging="357"/>
        <w:contextualSpacing w:val="0"/>
        <w:rPr>
          <w:sz w:val="20"/>
          <w:szCs w:val="20"/>
        </w:rPr>
      </w:pPr>
      <w:r w:rsidRPr="00970E53">
        <w:rPr>
          <w:sz w:val="20"/>
          <w:szCs w:val="20"/>
        </w:rPr>
        <w:t>business or political interests</w:t>
      </w:r>
      <w:r w:rsidR="009E00DD">
        <w:rPr>
          <w:sz w:val="20"/>
          <w:szCs w:val="20"/>
        </w:rPr>
        <w:t>.</w:t>
      </w:r>
    </w:p>
    <w:p w14:paraId="52E542FF" w14:textId="29701C03" w:rsidR="00087288" w:rsidRDefault="00087288" w:rsidP="00087288">
      <w:pPr>
        <w:spacing w:after="100"/>
        <w:ind w:left="357"/>
      </w:pPr>
      <w:r>
        <w:t>Depending on the decision to be taken, some other examples could be:</w:t>
      </w:r>
    </w:p>
    <w:p w14:paraId="2FC63921" w14:textId="6212CE0D" w:rsidR="00087288" w:rsidRPr="009827B7" w:rsidRDefault="00087288" w:rsidP="00087288">
      <w:pPr>
        <w:pStyle w:val="ListParagraph"/>
        <w:numPr>
          <w:ilvl w:val="0"/>
          <w:numId w:val="11"/>
        </w:numPr>
        <w:ind w:left="714" w:hanging="357"/>
        <w:contextualSpacing w:val="0"/>
        <w:rPr>
          <w:sz w:val="20"/>
          <w:szCs w:val="20"/>
        </w:rPr>
      </w:pPr>
      <w:r w:rsidRPr="009827B7">
        <w:rPr>
          <w:sz w:val="20"/>
          <w:szCs w:val="20"/>
        </w:rPr>
        <w:t>being an annual camper on the reserve</w:t>
      </w:r>
    </w:p>
    <w:p w14:paraId="04618E06" w14:textId="76DFD190" w:rsidR="001615CD" w:rsidRDefault="00087288" w:rsidP="00087288">
      <w:pPr>
        <w:pStyle w:val="ListParagraph"/>
        <w:numPr>
          <w:ilvl w:val="0"/>
          <w:numId w:val="11"/>
        </w:numPr>
        <w:ind w:left="714" w:hanging="357"/>
        <w:contextualSpacing w:val="0"/>
        <w:rPr>
          <w:sz w:val="20"/>
          <w:szCs w:val="20"/>
        </w:rPr>
      </w:pPr>
      <w:r w:rsidRPr="009827B7">
        <w:rPr>
          <w:sz w:val="20"/>
          <w:szCs w:val="20"/>
        </w:rPr>
        <w:t xml:space="preserve">being a member of a </w:t>
      </w:r>
      <w:r w:rsidR="001615CD">
        <w:rPr>
          <w:sz w:val="20"/>
          <w:szCs w:val="20"/>
        </w:rPr>
        <w:t>recreation</w:t>
      </w:r>
      <w:r w:rsidR="001615CD" w:rsidRPr="009827B7">
        <w:rPr>
          <w:sz w:val="20"/>
          <w:szCs w:val="20"/>
        </w:rPr>
        <w:t xml:space="preserve"> </w:t>
      </w:r>
      <w:r w:rsidRPr="009827B7">
        <w:rPr>
          <w:sz w:val="20"/>
          <w:szCs w:val="20"/>
        </w:rPr>
        <w:t xml:space="preserve">club that holds a lease </w:t>
      </w:r>
      <w:r w:rsidR="001615CD">
        <w:rPr>
          <w:sz w:val="20"/>
          <w:szCs w:val="20"/>
        </w:rPr>
        <w:t xml:space="preserve">over </w:t>
      </w:r>
      <w:r w:rsidRPr="009827B7">
        <w:rPr>
          <w:sz w:val="20"/>
          <w:szCs w:val="20"/>
        </w:rPr>
        <w:t>part of the reserve</w:t>
      </w:r>
      <w:r w:rsidR="00C21683">
        <w:rPr>
          <w:sz w:val="20"/>
          <w:szCs w:val="20"/>
        </w:rPr>
        <w:t xml:space="preserve">, </w:t>
      </w:r>
    </w:p>
    <w:p w14:paraId="628A792F" w14:textId="4D86B44B" w:rsidR="00087288" w:rsidRPr="009827B7" w:rsidRDefault="00087288" w:rsidP="00087288">
      <w:pPr>
        <w:pStyle w:val="ListParagraph"/>
        <w:numPr>
          <w:ilvl w:val="0"/>
          <w:numId w:val="11"/>
        </w:numPr>
        <w:ind w:left="714" w:hanging="357"/>
        <w:contextualSpacing w:val="0"/>
        <w:rPr>
          <w:sz w:val="20"/>
          <w:szCs w:val="20"/>
        </w:rPr>
      </w:pPr>
      <w:r w:rsidRPr="009827B7">
        <w:rPr>
          <w:sz w:val="20"/>
          <w:szCs w:val="20"/>
        </w:rPr>
        <w:t xml:space="preserve">being the coach of the club </w:t>
      </w:r>
      <w:r w:rsidR="00C21683">
        <w:rPr>
          <w:sz w:val="20"/>
          <w:szCs w:val="20"/>
        </w:rPr>
        <w:t>with a</w:t>
      </w:r>
      <w:r w:rsidR="00C21683" w:rsidRPr="009827B7">
        <w:rPr>
          <w:sz w:val="20"/>
          <w:szCs w:val="20"/>
        </w:rPr>
        <w:t xml:space="preserve"> </w:t>
      </w:r>
      <w:r w:rsidRPr="009827B7">
        <w:rPr>
          <w:sz w:val="20"/>
          <w:szCs w:val="20"/>
        </w:rPr>
        <w:t>lease up for renewal</w:t>
      </w:r>
      <w:r w:rsidR="00471ED8" w:rsidRPr="009827B7">
        <w:rPr>
          <w:sz w:val="20"/>
          <w:szCs w:val="20"/>
        </w:rPr>
        <w:t xml:space="preserve"> at the meeting</w:t>
      </w:r>
      <w:r w:rsidRPr="009827B7">
        <w:rPr>
          <w:sz w:val="20"/>
          <w:szCs w:val="20"/>
        </w:rPr>
        <w:t>.</w:t>
      </w:r>
    </w:p>
    <w:p w14:paraId="15DCD4D1" w14:textId="77777777" w:rsidR="00E02D85" w:rsidRPr="009827B7" w:rsidRDefault="00E02D85" w:rsidP="008E3280">
      <w:pPr>
        <w:pStyle w:val="Heading4"/>
        <w:rPr>
          <w:rFonts w:ascii="Arial" w:eastAsia="Times New Roman" w:hAnsi="Arial" w:cs="Arial"/>
          <w:lang w:val="en" w:eastAsia="en-AU"/>
        </w:rPr>
      </w:pPr>
      <w:r w:rsidRPr="009827B7">
        <w:rPr>
          <w:rFonts w:ascii="Arial" w:eastAsia="Times New Roman" w:hAnsi="Arial" w:cs="Arial"/>
          <w:lang w:val="en" w:eastAsia="en-AU"/>
        </w:rPr>
        <w:t>Keeping proper records</w:t>
      </w:r>
    </w:p>
    <w:p w14:paraId="15DCD4D2" w14:textId="77777777" w:rsidR="00856520" w:rsidRPr="00856520" w:rsidRDefault="008E3280" w:rsidP="008E3280">
      <w:pPr>
        <w:rPr>
          <w:lang w:val="en" w:eastAsia="en-AU"/>
        </w:rPr>
      </w:pPr>
      <w:r>
        <w:rPr>
          <w:lang w:val="en" w:eastAsia="en-AU"/>
        </w:rPr>
        <w:t xml:space="preserve">A register of private interests is maintained by this committee. It documents the private interests of members where they may raise a conflict of interest. The register is updated at every meeting or where a change in circumstances is </w:t>
      </w:r>
      <w:r w:rsidR="00621EDF">
        <w:rPr>
          <w:lang w:val="en" w:eastAsia="en-AU"/>
        </w:rPr>
        <w:t>notified to the committee chair.</w:t>
      </w:r>
    </w:p>
    <w:p w14:paraId="15DCD4D3" w14:textId="77777777" w:rsidR="00E02D85" w:rsidRPr="009827B7" w:rsidRDefault="00E02D85" w:rsidP="00621EDF">
      <w:pPr>
        <w:pStyle w:val="Heading4"/>
        <w:rPr>
          <w:rFonts w:ascii="Arial" w:eastAsia="Times New Roman" w:hAnsi="Arial" w:cs="Arial"/>
          <w:lang w:val="en" w:eastAsia="en-AU"/>
        </w:rPr>
      </w:pPr>
      <w:r w:rsidRPr="009827B7">
        <w:rPr>
          <w:rFonts w:ascii="Arial" w:eastAsia="Times New Roman" w:hAnsi="Arial" w:cs="Arial"/>
          <w:lang w:val="en" w:eastAsia="en-AU"/>
        </w:rPr>
        <w:t>Managing the risks</w:t>
      </w:r>
    </w:p>
    <w:p w14:paraId="15DCD4D4" w14:textId="77777777" w:rsidR="00E02D85" w:rsidRPr="00856520" w:rsidRDefault="00E02D85" w:rsidP="00621EDF">
      <w:pPr>
        <w:rPr>
          <w:lang w:val="en" w:eastAsia="en-AU"/>
        </w:rPr>
      </w:pPr>
      <w:r w:rsidRPr="00856520">
        <w:rPr>
          <w:lang w:val="en" w:eastAsia="en-AU"/>
        </w:rPr>
        <w:t xml:space="preserve">When a conflict of interest has been identified, </w:t>
      </w:r>
      <w:r w:rsidR="00621EDF">
        <w:rPr>
          <w:lang w:val="en" w:eastAsia="en-AU"/>
        </w:rPr>
        <w:t>the committee</w:t>
      </w:r>
      <w:r w:rsidRPr="00856520">
        <w:rPr>
          <w:lang w:val="en" w:eastAsia="en-AU"/>
        </w:rPr>
        <w:t xml:space="preserve"> should apply one of the following strategies and document it on the </w:t>
      </w:r>
      <w:r w:rsidR="00621EDF">
        <w:rPr>
          <w:lang w:val="en" w:eastAsia="en-AU"/>
        </w:rPr>
        <w:t xml:space="preserve">committee register of private </w:t>
      </w:r>
      <w:r w:rsidR="00621EDF" w:rsidRPr="00A26213">
        <w:rPr>
          <w:lang w:val="en" w:eastAsia="en-AU"/>
        </w:rPr>
        <w:t>interests</w:t>
      </w:r>
      <w:r w:rsidR="00153EBB" w:rsidRPr="00A26213">
        <w:rPr>
          <w:lang w:val="en" w:eastAsia="en-AU"/>
        </w:rPr>
        <w:t xml:space="preserve"> and in the minutes</w:t>
      </w:r>
      <w:r w:rsidRPr="00A26213">
        <w:rPr>
          <w:lang w:val="en" w:eastAsia="en-AU"/>
        </w:rPr>
        <w:t>:</w:t>
      </w: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673"/>
      </w:tblGrid>
      <w:tr w:rsidR="00E02D85" w:rsidRPr="006A2E91" w14:paraId="15DCD4D7" w14:textId="77777777" w:rsidTr="006A2E91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5DCD4D5" w14:textId="77777777" w:rsidR="00E02D85" w:rsidRPr="006A2E91" w:rsidRDefault="00E02D85" w:rsidP="006A2E91">
            <w:pPr>
              <w:spacing w:before="100"/>
              <w:ind w:left="138"/>
              <w:rPr>
                <w:b/>
                <w:lang w:eastAsia="en-AU"/>
              </w:rPr>
            </w:pPr>
            <w:r w:rsidRPr="006A2E91">
              <w:rPr>
                <w:b/>
                <w:lang w:eastAsia="en-AU"/>
              </w:rPr>
              <w:t>Strategy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5DCD4D6" w14:textId="77777777" w:rsidR="00E02D85" w:rsidRPr="006A2E91" w:rsidRDefault="00E02D85" w:rsidP="006A2E91">
            <w:pPr>
              <w:spacing w:before="100"/>
              <w:ind w:left="177"/>
              <w:rPr>
                <w:b/>
                <w:lang w:eastAsia="en-AU"/>
              </w:rPr>
            </w:pPr>
            <w:r w:rsidRPr="006A2E91">
              <w:rPr>
                <w:b/>
                <w:lang w:eastAsia="en-AU"/>
              </w:rPr>
              <w:t>Action</w:t>
            </w:r>
          </w:p>
        </w:tc>
      </w:tr>
      <w:tr w:rsidR="00E02D85" w:rsidRPr="00856520" w14:paraId="15DCD4DA" w14:textId="77777777" w:rsidTr="006A2E91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CD4D8" w14:textId="77777777" w:rsidR="00E02D85" w:rsidRPr="00621EDF" w:rsidRDefault="00E02D85" w:rsidP="006A2E91">
            <w:pPr>
              <w:ind w:left="138"/>
              <w:rPr>
                <w:color w:val="0070C0"/>
                <w:lang w:eastAsia="en-AU"/>
              </w:rPr>
            </w:pPr>
            <w:r w:rsidRPr="00621EDF">
              <w:rPr>
                <w:color w:val="0070C0"/>
                <w:lang w:eastAsia="en-AU"/>
              </w:rPr>
              <w:t>Register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CD4D9" w14:textId="77777777" w:rsidR="00E02D85" w:rsidRPr="00856520" w:rsidRDefault="00E02D85" w:rsidP="006A2E91">
            <w:pPr>
              <w:spacing w:before="120" w:after="120"/>
              <w:ind w:left="177"/>
              <w:rPr>
                <w:lang w:eastAsia="en-AU"/>
              </w:rPr>
            </w:pPr>
            <w:r w:rsidRPr="00856520">
              <w:rPr>
                <w:lang w:eastAsia="en-AU"/>
              </w:rPr>
              <w:t xml:space="preserve">Details of the existence of a possible or potential conflict of interest are formally advised and recorded on the </w:t>
            </w:r>
            <w:r w:rsidR="00621EDF">
              <w:rPr>
                <w:lang w:eastAsia="en-AU"/>
              </w:rPr>
              <w:t>private interests register</w:t>
            </w:r>
          </w:p>
        </w:tc>
      </w:tr>
      <w:tr w:rsidR="00E02D85" w:rsidRPr="00856520" w14:paraId="15DCD4DD" w14:textId="77777777" w:rsidTr="006A2E91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CD4DB" w14:textId="77777777" w:rsidR="00E02D85" w:rsidRPr="00621EDF" w:rsidRDefault="00E02D85" w:rsidP="006A2E91">
            <w:pPr>
              <w:ind w:left="138"/>
              <w:rPr>
                <w:color w:val="0070C0"/>
                <w:lang w:eastAsia="en-AU"/>
              </w:rPr>
            </w:pPr>
            <w:r w:rsidRPr="00621EDF">
              <w:rPr>
                <w:color w:val="0070C0"/>
                <w:lang w:eastAsia="en-AU"/>
              </w:rPr>
              <w:t>Restrict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CD4DC" w14:textId="77777777" w:rsidR="00E02D85" w:rsidRPr="00856520" w:rsidRDefault="00E02D85" w:rsidP="006A2E91">
            <w:pPr>
              <w:spacing w:before="120" w:after="120"/>
              <w:ind w:left="177"/>
              <w:rPr>
                <w:lang w:eastAsia="en-AU"/>
              </w:rPr>
            </w:pPr>
            <w:r w:rsidRPr="00856520">
              <w:rPr>
                <w:lang w:eastAsia="en-AU"/>
              </w:rPr>
              <w:t xml:space="preserve">Restrictions are placed on the </w:t>
            </w:r>
            <w:r w:rsidR="00621EDF">
              <w:rPr>
                <w:lang w:eastAsia="en-AU"/>
              </w:rPr>
              <w:t>member’s</w:t>
            </w:r>
            <w:r w:rsidRPr="00856520">
              <w:rPr>
                <w:lang w:eastAsia="en-AU"/>
              </w:rPr>
              <w:t xml:space="preserve"> involvement in</w:t>
            </w:r>
            <w:r w:rsidR="00621EDF">
              <w:rPr>
                <w:lang w:eastAsia="en-AU"/>
              </w:rPr>
              <w:t xml:space="preserve"> discussion and/or decision making on</w:t>
            </w:r>
            <w:r w:rsidRPr="00856520">
              <w:rPr>
                <w:lang w:eastAsia="en-AU"/>
              </w:rPr>
              <w:t xml:space="preserve"> the matter</w:t>
            </w:r>
          </w:p>
        </w:tc>
      </w:tr>
      <w:tr w:rsidR="00E02D85" w:rsidRPr="00856520" w14:paraId="15DCD4E0" w14:textId="77777777" w:rsidTr="006A2E91">
        <w:trPr>
          <w:trHeight w:val="755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CD4DE" w14:textId="77777777" w:rsidR="00E02D85" w:rsidRPr="00621EDF" w:rsidRDefault="00E02D85" w:rsidP="006A2E91">
            <w:pPr>
              <w:ind w:left="138"/>
              <w:rPr>
                <w:color w:val="0070C0"/>
                <w:lang w:eastAsia="en-AU"/>
              </w:rPr>
            </w:pPr>
            <w:r w:rsidRPr="00621EDF">
              <w:rPr>
                <w:color w:val="0070C0"/>
                <w:lang w:eastAsia="en-AU"/>
              </w:rPr>
              <w:t>Recruit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CD4DF" w14:textId="77777777" w:rsidR="00E02D85" w:rsidRPr="00856520" w:rsidRDefault="00E02D85" w:rsidP="006A2E91">
            <w:pPr>
              <w:spacing w:before="120" w:after="120"/>
              <w:ind w:left="177"/>
              <w:rPr>
                <w:lang w:eastAsia="en-AU"/>
              </w:rPr>
            </w:pPr>
            <w:r w:rsidRPr="00856520">
              <w:rPr>
                <w:lang w:eastAsia="en-AU"/>
              </w:rPr>
              <w:t>A disinterested third party is appointed to oversee part or all of the process that deals with the matter</w:t>
            </w:r>
          </w:p>
        </w:tc>
      </w:tr>
      <w:tr w:rsidR="00E02D85" w:rsidRPr="00856520" w14:paraId="15DCD4E3" w14:textId="77777777" w:rsidTr="006A2E91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CD4E1" w14:textId="77777777" w:rsidR="00E02D85" w:rsidRPr="00621EDF" w:rsidRDefault="00E02D85" w:rsidP="006A2E91">
            <w:pPr>
              <w:ind w:left="138"/>
              <w:rPr>
                <w:color w:val="0070C0"/>
                <w:lang w:eastAsia="en-AU"/>
              </w:rPr>
            </w:pPr>
            <w:r w:rsidRPr="00621EDF">
              <w:rPr>
                <w:color w:val="0070C0"/>
                <w:lang w:eastAsia="en-AU"/>
              </w:rPr>
              <w:t>Remove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CD4E2" w14:textId="77777777" w:rsidR="00E02D85" w:rsidRPr="00856520" w:rsidRDefault="00E02D85" w:rsidP="006A2E91">
            <w:pPr>
              <w:spacing w:before="120" w:after="120"/>
              <w:ind w:left="177"/>
              <w:rPr>
                <w:lang w:eastAsia="en-AU"/>
              </w:rPr>
            </w:pPr>
            <w:r w:rsidRPr="00856520">
              <w:rPr>
                <w:lang w:eastAsia="en-AU"/>
              </w:rPr>
              <w:t xml:space="preserve">The </w:t>
            </w:r>
            <w:r w:rsidR="00621EDF">
              <w:rPr>
                <w:lang w:eastAsia="en-AU"/>
              </w:rPr>
              <w:t>member</w:t>
            </w:r>
            <w:r w:rsidRPr="00856520">
              <w:rPr>
                <w:lang w:eastAsia="en-AU"/>
              </w:rPr>
              <w:t xml:space="preserve"> does not participate at all in the matter</w:t>
            </w:r>
          </w:p>
        </w:tc>
      </w:tr>
      <w:tr w:rsidR="00E02D85" w:rsidRPr="00856520" w14:paraId="15DCD4E6" w14:textId="77777777" w:rsidTr="006A2E91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CD4E4" w14:textId="77777777" w:rsidR="00E02D85" w:rsidRPr="00621EDF" w:rsidRDefault="00E02D85" w:rsidP="006A2E91">
            <w:pPr>
              <w:ind w:left="138"/>
              <w:rPr>
                <w:color w:val="0070C0"/>
                <w:lang w:eastAsia="en-AU"/>
              </w:rPr>
            </w:pPr>
            <w:r w:rsidRPr="00621EDF">
              <w:rPr>
                <w:color w:val="0070C0"/>
                <w:lang w:eastAsia="en-AU"/>
              </w:rPr>
              <w:t>Relinquish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CD4E5" w14:textId="77777777" w:rsidR="00E02D85" w:rsidRPr="00856520" w:rsidRDefault="00E02D85" w:rsidP="006A2E91">
            <w:pPr>
              <w:spacing w:before="120" w:after="120"/>
              <w:ind w:left="177"/>
              <w:rPr>
                <w:lang w:eastAsia="en-AU"/>
              </w:rPr>
            </w:pPr>
            <w:r w:rsidRPr="00856520">
              <w:rPr>
                <w:lang w:eastAsia="en-AU"/>
              </w:rPr>
              <w:t>The private interest concerned is relinquished</w:t>
            </w:r>
          </w:p>
        </w:tc>
      </w:tr>
    </w:tbl>
    <w:p w14:paraId="15DCD4E7" w14:textId="77777777" w:rsidR="00153EBB" w:rsidRDefault="00153EBB" w:rsidP="00153EBB">
      <w:pPr>
        <w:pStyle w:val="Heading1"/>
      </w:pPr>
      <w:r w:rsidRPr="00E30E24">
        <w:t>Standard procedure for dealing with a conflict of interest</w:t>
      </w:r>
    </w:p>
    <w:p w14:paraId="15DCD4E8" w14:textId="77777777" w:rsidR="00153EBB" w:rsidRPr="00E30E24" w:rsidRDefault="00153EBB" w:rsidP="00153EBB">
      <w:pPr>
        <w:pStyle w:val="Body"/>
      </w:pPr>
      <w:r w:rsidRPr="00E30E24">
        <w:t xml:space="preserve">The committee’s </w:t>
      </w:r>
      <w:r w:rsidRPr="00E30E24">
        <w:rPr>
          <w:b/>
        </w:rPr>
        <w:t>standard procedure</w:t>
      </w:r>
      <w:r w:rsidRPr="00E30E24">
        <w:t xml:space="preserve"> for managing a material (serious) conflict of interest is to ‘remove’ the member with the conflict from all discussion and decision-making on the matter.</w:t>
      </w:r>
      <w:r w:rsidR="00185045">
        <w:t xml:space="preserve">  </w:t>
      </w:r>
    </w:p>
    <w:p w14:paraId="15DCD4E9" w14:textId="77777777" w:rsidR="00153EBB" w:rsidRPr="00E30E24" w:rsidRDefault="00153EBB" w:rsidP="00153EBB">
      <w:pPr>
        <w:pStyle w:val="Body"/>
      </w:pPr>
      <w:r w:rsidRPr="00E30E24">
        <w:t>The member:</w:t>
      </w:r>
    </w:p>
    <w:p w14:paraId="15DCD4EA" w14:textId="0BE3F4C4" w:rsidR="00153EBB" w:rsidRPr="00A87562" w:rsidRDefault="00153EBB" w:rsidP="006A2E91">
      <w:pPr>
        <w:pStyle w:val="ListParagraph"/>
        <w:numPr>
          <w:ilvl w:val="0"/>
          <w:numId w:val="15"/>
        </w:numPr>
        <w:ind w:left="714" w:hanging="357"/>
        <w:contextualSpacing w:val="0"/>
        <w:rPr>
          <w:sz w:val="20"/>
          <w:szCs w:val="20"/>
        </w:rPr>
      </w:pPr>
      <w:r w:rsidRPr="00A87562">
        <w:rPr>
          <w:sz w:val="20"/>
          <w:szCs w:val="20"/>
        </w:rPr>
        <w:t xml:space="preserve">leaves the room at the start of the relevant agenda item and </w:t>
      </w:r>
      <w:r w:rsidR="00843C6C" w:rsidRPr="00A87562">
        <w:rPr>
          <w:sz w:val="20"/>
          <w:szCs w:val="20"/>
        </w:rPr>
        <w:t xml:space="preserve">does </w:t>
      </w:r>
      <w:r w:rsidRPr="00A87562">
        <w:rPr>
          <w:sz w:val="20"/>
          <w:szCs w:val="20"/>
        </w:rPr>
        <w:t>not return until the start of the next agenda item</w:t>
      </w:r>
    </w:p>
    <w:p w14:paraId="15DCD4EB" w14:textId="648D8AA4" w:rsidR="00153EBB" w:rsidRPr="00A87562" w:rsidRDefault="00843C6C" w:rsidP="006A2E91">
      <w:pPr>
        <w:pStyle w:val="ListParagraph"/>
        <w:numPr>
          <w:ilvl w:val="0"/>
          <w:numId w:val="15"/>
        </w:numPr>
        <w:ind w:left="714" w:hanging="357"/>
        <w:contextualSpacing w:val="0"/>
        <w:rPr>
          <w:sz w:val="20"/>
          <w:szCs w:val="20"/>
        </w:rPr>
      </w:pPr>
      <w:r w:rsidRPr="00A87562">
        <w:rPr>
          <w:sz w:val="20"/>
          <w:szCs w:val="20"/>
        </w:rPr>
        <w:t xml:space="preserve">does </w:t>
      </w:r>
      <w:r w:rsidR="00153EBB" w:rsidRPr="00A87562">
        <w:rPr>
          <w:sz w:val="20"/>
          <w:szCs w:val="20"/>
        </w:rPr>
        <w:t>not discuss the matter at all with any other member</w:t>
      </w:r>
      <w:r w:rsidRPr="00A87562">
        <w:rPr>
          <w:sz w:val="20"/>
          <w:szCs w:val="20"/>
        </w:rPr>
        <w:t xml:space="preserve">, </w:t>
      </w:r>
      <w:r w:rsidR="00153EBB" w:rsidRPr="00A87562">
        <w:rPr>
          <w:sz w:val="20"/>
          <w:szCs w:val="20"/>
        </w:rPr>
        <w:t>either in the meeting or elsewhere</w:t>
      </w:r>
      <w:r w:rsidRPr="00A87562">
        <w:rPr>
          <w:sz w:val="20"/>
          <w:szCs w:val="20"/>
        </w:rPr>
        <w:t>,</w:t>
      </w:r>
      <w:r w:rsidR="00153EBB" w:rsidRPr="00A87562">
        <w:rPr>
          <w:sz w:val="20"/>
          <w:szCs w:val="20"/>
        </w:rPr>
        <w:t xml:space="preserve"> and</w:t>
      </w:r>
    </w:p>
    <w:p w14:paraId="15DCD4EC" w14:textId="264A705B" w:rsidR="00153EBB" w:rsidRPr="00A87562" w:rsidRDefault="00843C6C" w:rsidP="006A2E91">
      <w:pPr>
        <w:pStyle w:val="ListParagraph"/>
        <w:numPr>
          <w:ilvl w:val="0"/>
          <w:numId w:val="15"/>
        </w:numPr>
        <w:ind w:left="714" w:hanging="357"/>
        <w:contextualSpacing w:val="0"/>
        <w:rPr>
          <w:sz w:val="20"/>
          <w:szCs w:val="20"/>
        </w:rPr>
      </w:pPr>
      <w:r w:rsidRPr="00A87562">
        <w:rPr>
          <w:sz w:val="20"/>
          <w:szCs w:val="20"/>
        </w:rPr>
        <w:t xml:space="preserve">does </w:t>
      </w:r>
      <w:r w:rsidR="00153EBB" w:rsidRPr="00A87562">
        <w:rPr>
          <w:sz w:val="20"/>
          <w:szCs w:val="20"/>
        </w:rPr>
        <w:t>not participate in any committee decision on the matter.</w:t>
      </w:r>
    </w:p>
    <w:p w14:paraId="15DCD4ED" w14:textId="77777777" w:rsidR="00153EBB" w:rsidRPr="00E30E24" w:rsidRDefault="00153EBB" w:rsidP="006A2E91">
      <w:r w:rsidRPr="00E30E24">
        <w:t>The standard procedure is followed unless the committee determines and records in the minutes clear reasons why it is not in the public interest.</w:t>
      </w:r>
    </w:p>
    <w:p w14:paraId="7064F0D4" w14:textId="77777777" w:rsidR="00A87562" w:rsidRDefault="00A8756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5DCD4EE" w14:textId="250CA00E" w:rsidR="00153EBB" w:rsidRPr="00E30E24" w:rsidRDefault="00153EBB" w:rsidP="00153EBB">
      <w:pPr>
        <w:pStyle w:val="Heading1"/>
      </w:pPr>
      <w:r w:rsidRPr="00E30E24">
        <w:lastRenderedPageBreak/>
        <w:t>Lesser options</w:t>
      </w:r>
    </w:p>
    <w:p w14:paraId="15DCD4EF" w14:textId="77777777" w:rsidR="00153EBB" w:rsidRPr="00E30E24" w:rsidRDefault="00153EBB" w:rsidP="006A2E91">
      <w:r w:rsidRPr="00E30E24">
        <w:t>A lesser option will not usually be in the public interest for managing a material (serious) conflict of interest.</w:t>
      </w:r>
      <w:r w:rsidR="00882A97">
        <w:t xml:space="preserve"> </w:t>
      </w:r>
      <w:r w:rsidRPr="00E30E24">
        <w:t>Examples of where a lesser option may be in the public interest are:</w:t>
      </w:r>
    </w:p>
    <w:p w14:paraId="15DCD4F0" w14:textId="77777777" w:rsidR="00153EBB" w:rsidRPr="006A2E91" w:rsidRDefault="00153EBB" w:rsidP="009F0790">
      <w:pPr>
        <w:pStyle w:val="Body"/>
        <w:ind w:left="284"/>
        <w:rPr>
          <w:u w:val="single"/>
        </w:rPr>
      </w:pPr>
      <w:r w:rsidRPr="006A2E91">
        <w:rPr>
          <w:u w:val="single"/>
        </w:rPr>
        <w:t xml:space="preserve">Example: Discussion </w:t>
      </w:r>
    </w:p>
    <w:p w14:paraId="15DCD4F1" w14:textId="6FF8B91B" w:rsidR="00153EBB" w:rsidRPr="006365D3" w:rsidRDefault="00153EBB" w:rsidP="009F0790">
      <w:pPr>
        <w:pStyle w:val="Body"/>
        <w:ind w:left="284"/>
      </w:pPr>
      <w:r w:rsidRPr="004F3F70">
        <w:t>If the member with the conflict was appointed on the basis of their knowledge of the matter</w:t>
      </w:r>
      <w:r w:rsidR="00E54C0C">
        <w:t>,</w:t>
      </w:r>
      <w:r w:rsidRPr="004F3F70">
        <w:t xml:space="preserve"> then it may be in the public interest for them to be present for part of the committee’s discussions.</w:t>
      </w:r>
      <w:r w:rsidR="00185045" w:rsidRPr="004F3F70">
        <w:t xml:space="preserve"> </w:t>
      </w:r>
    </w:p>
    <w:p w14:paraId="15DCD4F3" w14:textId="77777777" w:rsidR="00153EBB" w:rsidRPr="00413ED7" w:rsidRDefault="00153EBB" w:rsidP="009F0790">
      <w:pPr>
        <w:pStyle w:val="Body"/>
        <w:ind w:left="284"/>
        <w:rPr>
          <w:u w:val="single"/>
        </w:rPr>
      </w:pPr>
      <w:r w:rsidRPr="00413ED7">
        <w:rPr>
          <w:u w:val="single"/>
        </w:rPr>
        <w:t xml:space="preserve">Example: Decision: </w:t>
      </w:r>
    </w:p>
    <w:p w14:paraId="15DCD4F4" w14:textId="483A4EBD" w:rsidR="00153EBB" w:rsidRDefault="00153EBB" w:rsidP="009F0790">
      <w:pPr>
        <w:pStyle w:val="Body"/>
        <w:ind w:left="284"/>
      </w:pPr>
      <w:r w:rsidRPr="006A2E91">
        <w:t xml:space="preserve">If the standard procedure of removing conflicted members from all discussion and decision making on the issue would mean there is no quorum for the decision </w:t>
      </w:r>
      <w:r w:rsidRPr="00F22810">
        <w:rPr>
          <w:b/>
        </w:rPr>
        <w:t xml:space="preserve">even if all </w:t>
      </w:r>
      <w:r w:rsidR="00F22810" w:rsidRPr="00F22810">
        <w:rPr>
          <w:b/>
        </w:rPr>
        <w:t xml:space="preserve">committee </w:t>
      </w:r>
      <w:r w:rsidRPr="00F22810">
        <w:rPr>
          <w:b/>
        </w:rPr>
        <w:t>members are present</w:t>
      </w:r>
      <w:r w:rsidRPr="006A2E91">
        <w:t>, then a lesser option will be in the public interest.</w:t>
      </w:r>
      <w:r w:rsidR="00C74C79" w:rsidRPr="006A2E91">
        <w:t xml:space="preserve"> </w:t>
      </w:r>
      <w:r w:rsidRPr="006A2E91">
        <w:t>However, if ‘unconflicted’ member/s are absent, it will usually be in</w:t>
      </w:r>
      <w:r w:rsidRPr="00E30E24">
        <w:t xml:space="preserve"> the public interest for the decision to be held over to the next committee meeting.</w:t>
      </w:r>
    </w:p>
    <w:p w14:paraId="15DCD4F5" w14:textId="77777777" w:rsidR="00153EBB" w:rsidRPr="00E30E24" w:rsidRDefault="00153EBB" w:rsidP="00153EBB">
      <w:pPr>
        <w:pStyle w:val="Heading1"/>
      </w:pPr>
      <w:r w:rsidRPr="00E30E24">
        <w:t>Help from DELWP</w:t>
      </w:r>
    </w:p>
    <w:p w14:paraId="15DCD4F6" w14:textId="3249E3B5" w:rsidR="00153EBB" w:rsidRPr="00E30E24" w:rsidRDefault="00843C6C" w:rsidP="006A2E91">
      <w:r>
        <w:t xml:space="preserve">Contact </w:t>
      </w:r>
      <w:r w:rsidR="00153EBB" w:rsidRPr="00E30E24">
        <w:t xml:space="preserve">the local DELWP </w:t>
      </w:r>
      <w:bookmarkStart w:id="0" w:name="_Hlk22637518"/>
      <w:r w:rsidR="00A74341">
        <w:rPr>
          <w:rFonts w:ascii="Times New Roman" w:hAnsi="Times New Roman" w:cs="Times New Roman"/>
          <w:sz w:val="24"/>
          <w:szCs w:val="24"/>
          <w:lang w:eastAsia="en-AU"/>
        </w:rPr>
        <w:fldChar w:fldCharType="begin"/>
      </w:r>
      <w:r w:rsidR="00A74341">
        <w:rPr>
          <w:rFonts w:ascii="Times New Roman" w:hAnsi="Times New Roman" w:cs="Times New Roman"/>
          <w:sz w:val="24"/>
          <w:szCs w:val="24"/>
          <w:lang w:eastAsia="en-AU"/>
        </w:rPr>
        <w:instrText xml:space="preserve"> HYPERLINK "https://www2.delwp.vic.gov.au/communities-and-regions/regions-and-locations" </w:instrText>
      </w:r>
      <w:r w:rsidR="00A74341">
        <w:rPr>
          <w:rFonts w:ascii="Times New Roman" w:hAnsi="Times New Roman" w:cs="Times New Roman"/>
          <w:sz w:val="24"/>
          <w:szCs w:val="24"/>
          <w:lang w:eastAsia="en-AU"/>
        </w:rPr>
        <w:fldChar w:fldCharType="separate"/>
      </w:r>
      <w:r w:rsidR="00A74341">
        <w:rPr>
          <w:rStyle w:val="Hyperlink"/>
        </w:rPr>
        <w:t>regional office</w:t>
      </w:r>
      <w:bookmarkEnd w:id="0"/>
      <w:r w:rsidR="00A74341">
        <w:rPr>
          <w:rFonts w:ascii="Times New Roman" w:hAnsi="Times New Roman" w:cs="Times New Roman"/>
          <w:sz w:val="24"/>
          <w:szCs w:val="24"/>
          <w:lang w:eastAsia="en-AU"/>
        </w:rPr>
        <w:fldChar w:fldCharType="end"/>
      </w:r>
      <w:r w:rsidR="00153EBB" w:rsidRPr="00E30E24">
        <w:t xml:space="preserve"> for advice</w:t>
      </w:r>
      <w:r>
        <w:t xml:space="preserve"> i</w:t>
      </w:r>
      <w:r w:rsidRPr="00E30E24">
        <w:t>f your committee is unsure about how to handle a conflict of interest</w:t>
      </w:r>
      <w:r>
        <w:t>.</w:t>
      </w:r>
      <w:r w:rsidR="00153EBB" w:rsidRPr="00E30E24">
        <w:t xml:space="preserve"> </w:t>
      </w:r>
      <w:r w:rsidR="00C74C79">
        <w:t xml:space="preserve">Also contact the department if the committee </w:t>
      </w:r>
      <w:r w:rsidR="006A10CA">
        <w:t xml:space="preserve">often </w:t>
      </w:r>
      <w:r w:rsidR="00C74C79">
        <w:t>has trouble meeting a quorum due to conflicts of interest.</w:t>
      </w:r>
    </w:p>
    <w:p w14:paraId="15DCD4F7" w14:textId="77777777" w:rsidR="00153EBB" w:rsidRDefault="00153EBB" w:rsidP="00153EBB">
      <w:pPr>
        <w:pStyle w:val="Heading1"/>
      </w:pPr>
      <w:r>
        <w:t>Recording conflicts</w:t>
      </w:r>
    </w:p>
    <w:p w14:paraId="15DCD4F8" w14:textId="07BFDA77" w:rsidR="00153EBB" w:rsidRDefault="00153EBB" w:rsidP="006A2E91">
      <w:r>
        <w:t xml:space="preserve">Record </w:t>
      </w:r>
      <w:r w:rsidR="00843C6C">
        <w:t xml:space="preserve">in the minutes of the meeting any </w:t>
      </w:r>
      <w:r>
        <w:t xml:space="preserve">conflicts with items on the agenda and how </w:t>
      </w:r>
      <w:r w:rsidR="00843C6C">
        <w:t xml:space="preserve">the committee </w:t>
      </w:r>
      <w:r w:rsidR="003858DC">
        <w:t xml:space="preserve">dealt </w:t>
      </w:r>
      <w:r>
        <w:t>with</w:t>
      </w:r>
      <w:r w:rsidR="00843C6C">
        <w:t xml:space="preserve"> them</w:t>
      </w:r>
      <w:r>
        <w:t>. Good record keeping is crucial to ensuring transparency and good conflict of interest management.</w:t>
      </w:r>
    </w:p>
    <w:p w14:paraId="15DCD4F9" w14:textId="77777777" w:rsidR="00E02D85" w:rsidRPr="0096255A" w:rsidRDefault="00E02D85" w:rsidP="008E3280">
      <w:pPr>
        <w:pStyle w:val="Heading1"/>
        <w:rPr>
          <w:rFonts w:eastAsia="Times New Roman"/>
          <w:lang w:val="en" w:eastAsia="en-AU"/>
        </w:rPr>
      </w:pPr>
      <w:r w:rsidRPr="0096255A">
        <w:rPr>
          <w:rFonts w:eastAsia="Times New Roman"/>
          <w:lang w:val="en" w:eastAsia="en-AU"/>
        </w:rPr>
        <w:t>Policy breaches</w:t>
      </w:r>
    </w:p>
    <w:p w14:paraId="15DCD4FA" w14:textId="2DD1D370" w:rsidR="00E02D85" w:rsidRPr="00856520" w:rsidRDefault="00E02D85" w:rsidP="00621EDF">
      <w:pPr>
        <w:rPr>
          <w:lang w:val="en" w:eastAsia="en-AU"/>
        </w:rPr>
      </w:pPr>
      <w:r w:rsidRPr="00856520">
        <w:rPr>
          <w:lang w:val="en" w:eastAsia="en-AU"/>
        </w:rPr>
        <w:t xml:space="preserve">Failure to avoid or identify, declare and manage a conflict of interest in accordance with this policy could lead to disciplinary action. </w:t>
      </w:r>
      <w:r w:rsidR="0096255A">
        <w:rPr>
          <w:lang w:val="en" w:eastAsia="en-AU"/>
        </w:rPr>
        <w:t>A</w:t>
      </w:r>
      <w:r w:rsidRPr="00856520">
        <w:rPr>
          <w:lang w:val="en" w:eastAsia="en-AU"/>
        </w:rPr>
        <w:t xml:space="preserve">ctions inconsistent with this policy may constitute misconduct under the </w:t>
      </w:r>
      <w:r w:rsidRPr="001B345A">
        <w:rPr>
          <w:i/>
          <w:lang w:val="en" w:eastAsia="en-AU"/>
        </w:rPr>
        <w:t>P</w:t>
      </w:r>
      <w:r w:rsidRPr="00856520">
        <w:rPr>
          <w:i/>
          <w:iCs/>
          <w:lang w:val="en" w:eastAsia="en-AU"/>
        </w:rPr>
        <w:t>ublic Administration Act 2004</w:t>
      </w:r>
      <w:r w:rsidRPr="00856520">
        <w:rPr>
          <w:lang w:val="en" w:eastAsia="en-AU"/>
        </w:rPr>
        <w:t xml:space="preserve"> and/or corrupt con</w:t>
      </w:r>
      <w:bookmarkStart w:id="1" w:name="_GoBack"/>
      <w:bookmarkEnd w:id="1"/>
      <w:r w:rsidRPr="00856520">
        <w:rPr>
          <w:lang w:val="en" w:eastAsia="en-AU"/>
        </w:rPr>
        <w:t xml:space="preserve">duct under the </w:t>
      </w:r>
      <w:r w:rsidRPr="00856520">
        <w:rPr>
          <w:i/>
          <w:iCs/>
          <w:lang w:val="en" w:eastAsia="en-AU"/>
        </w:rPr>
        <w:t>Independent Broad-based Anti-corruption Commission Act 2011</w:t>
      </w:r>
      <w:r w:rsidRPr="00856520">
        <w:rPr>
          <w:lang w:val="en" w:eastAsia="en-AU"/>
        </w:rPr>
        <w:t>.</w:t>
      </w:r>
    </w:p>
    <w:p w14:paraId="15DCD4FB" w14:textId="77777777" w:rsidR="00E02D85" w:rsidRPr="0096255A" w:rsidRDefault="00E02D85" w:rsidP="008E3280">
      <w:pPr>
        <w:pStyle w:val="Heading1"/>
        <w:rPr>
          <w:rFonts w:eastAsia="Times New Roman"/>
          <w:lang w:val="en" w:eastAsia="en-AU"/>
        </w:rPr>
      </w:pPr>
      <w:r w:rsidRPr="0096255A">
        <w:rPr>
          <w:rFonts w:eastAsia="Times New Roman"/>
          <w:lang w:val="en" w:eastAsia="en-AU"/>
        </w:rPr>
        <w:t>Speak up</w:t>
      </w:r>
    </w:p>
    <w:p w14:paraId="15DCD4FC" w14:textId="373D4033" w:rsidR="00E02D85" w:rsidRPr="00856520" w:rsidRDefault="00621EDF" w:rsidP="00621EDF">
      <w:pPr>
        <w:rPr>
          <w:lang w:val="en" w:eastAsia="en-AU"/>
        </w:rPr>
      </w:pPr>
      <w:r>
        <w:rPr>
          <w:lang w:val="en" w:eastAsia="en-AU"/>
        </w:rPr>
        <w:t>Members and employees of the committee</w:t>
      </w:r>
      <w:r w:rsidR="00E02D85" w:rsidRPr="00856520">
        <w:rPr>
          <w:lang w:val="en" w:eastAsia="en-AU"/>
        </w:rPr>
        <w:t xml:space="preserve"> who </w:t>
      </w:r>
      <w:r w:rsidR="009E00DD">
        <w:rPr>
          <w:lang w:val="en" w:eastAsia="en-AU"/>
        </w:rPr>
        <w:t>believe</w:t>
      </w:r>
      <w:r w:rsidR="009E00DD" w:rsidRPr="00856520">
        <w:rPr>
          <w:lang w:val="en" w:eastAsia="en-AU"/>
        </w:rPr>
        <w:t xml:space="preserve"> </w:t>
      </w:r>
      <w:r w:rsidR="00E02D85" w:rsidRPr="00856520">
        <w:rPr>
          <w:lang w:val="en" w:eastAsia="en-AU"/>
        </w:rPr>
        <w:t xml:space="preserve">that conflicts of interests within the </w:t>
      </w:r>
      <w:r w:rsidR="008E3280">
        <w:rPr>
          <w:lang w:val="en" w:eastAsia="en-AU"/>
        </w:rPr>
        <w:t>committee</w:t>
      </w:r>
      <w:r w:rsidR="00E02D85" w:rsidRPr="00856520">
        <w:rPr>
          <w:lang w:val="en" w:eastAsia="en-AU"/>
        </w:rPr>
        <w:t xml:space="preserve"> may not have been declared or managed appropriately should speak up and notify </w:t>
      </w:r>
      <w:r w:rsidR="008E3280">
        <w:rPr>
          <w:lang w:val="en" w:eastAsia="en-AU"/>
        </w:rPr>
        <w:t xml:space="preserve">the committee chair or the </w:t>
      </w:r>
      <w:hyperlink r:id="rId14" w:history="1">
        <w:r w:rsidR="00A74341">
          <w:rPr>
            <w:rStyle w:val="Hyperlink"/>
          </w:rPr>
          <w:t>regional office</w:t>
        </w:r>
      </w:hyperlink>
      <w:r w:rsidR="008E3280">
        <w:rPr>
          <w:lang w:val="en" w:eastAsia="en-AU"/>
        </w:rPr>
        <w:t>.</w:t>
      </w:r>
    </w:p>
    <w:p w14:paraId="15DCD4FD" w14:textId="1838C13F" w:rsidR="00E02D85" w:rsidRPr="00856520" w:rsidRDefault="00E02D85" w:rsidP="00621EDF">
      <w:pPr>
        <w:rPr>
          <w:lang w:val="en" w:eastAsia="en-AU"/>
        </w:rPr>
      </w:pPr>
      <w:r w:rsidRPr="00856520">
        <w:rPr>
          <w:lang w:val="en" w:eastAsia="en-AU"/>
        </w:rPr>
        <w:t xml:space="preserve">The </w:t>
      </w:r>
      <w:r w:rsidR="008E3280">
        <w:rPr>
          <w:lang w:val="en" w:eastAsia="en-AU"/>
        </w:rPr>
        <w:t>committee</w:t>
      </w:r>
      <w:r w:rsidRPr="00856520">
        <w:rPr>
          <w:lang w:val="en" w:eastAsia="en-AU"/>
        </w:rPr>
        <w:t xml:space="preserve"> will take decisive action against </w:t>
      </w:r>
      <w:r w:rsidR="008E3280">
        <w:rPr>
          <w:lang w:val="en" w:eastAsia="en-AU"/>
        </w:rPr>
        <w:t>members</w:t>
      </w:r>
      <w:r w:rsidRPr="00856520">
        <w:rPr>
          <w:lang w:val="en" w:eastAsia="en-AU"/>
        </w:rPr>
        <w:t xml:space="preserve"> who discriminate against or victimise those who speak up in good faith.</w:t>
      </w:r>
    </w:p>
    <w:p w14:paraId="15DCD4FE" w14:textId="77777777" w:rsidR="00E02D85" w:rsidRPr="0096255A" w:rsidRDefault="00E02D85" w:rsidP="008E3280">
      <w:pPr>
        <w:pStyle w:val="Heading1"/>
        <w:rPr>
          <w:rFonts w:eastAsia="Times New Roman"/>
          <w:lang w:val="en" w:eastAsia="en-AU"/>
        </w:rPr>
      </w:pPr>
      <w:r w:rsidRPr="0096255A">
        <w:rPr>
          <w:rFonts w:eastAsia="Times New Roman"/>
          <w:lang w:val="en" w:eastAsia="en-AU"/>
        </w:rPr>
        <w:t>Contact</w:t>
      </w:r>
    </w:p>
    <w:p w14:paraId="15DCD4FF" w14:textId="545A567E" w:rsidR="00E02D85" w:rsidRPr="0077515B" w:rsidRDefault="00E02D85" w:rsidP="00621EDF">
      <w:pPr>
        <w:rPr>
          <w:szCs w:val="20"/>
          <w:lang w:val="en" w:eastAsia="en-AU"/>
        </w:rPr>
      </w:pPr>
      <w:r w:rsidRPr="00856520">
        <w:rPr>
          <w:lang w:val="en" w:eastAsia="en-AU"/>
        </w:rPr>
        <w:t xml:space="preserve">The </w:t>
      </w:r>
      <w:r w:rsidRPr="0077515B">
        <w:rPr>
          <w:szCs w:val="20"/>
          <w:lang w:val="en" w:eastAsia="en-AU"/>
        </w:rPr>
        <w:t xml:space="preserve">following people may be contacted </w:t>
      </w:r>
      <w:r w:rsidR="00C746D4">
        <w:rPr>
          <w:szCs w:val="20"/>
          <w:lang w:val="en" w:eastAsia="en-AU"/>
        </w:rPr>
        <w:t>concerning</w:t>
      </w:r>
      <w:r w:rsidRPr="0077515B">
        <w:rPr>
          <w:szCs w:val="20"/>
          <w:lang w:val="en" w:eastAsia="en-AU"/>
        </w:rPr>
        <w:t xml:space="preserve"> matters arising under the policy:</w:t>
      </w:r>
    </w:p>
    <w:p w14:paraId="15DCD500" w14:textId="3DF2D6DE" w:rsidR="00E02D85" w:rsidRPr="0077515B" w:rsidRDefault="009E00DD" w:rsidP="00A74341">
      <w:pPr>
        <w:pStyle w:val="ListParagraph"/>
        <w:numPr>
          <w:ilvl w:val="0"/>
          <w:numId w:val="12"/>
        </w:numPr>
        <w:ind w:left="714" w:hanging="357"/>
        <w:contextualSpacing w:val="0"/>
        <w:rPr>
          <w:sz w:val="20"/>
          <w:szCs w:val="20"/>
          <w:lang w:val="en" w:eastAsia="en-AU"/>
        </w:rPr>
      </w:pPr>
      <w:r w:rsidRPr="0077515B">
        <w:rPr>
          <w:sz w:val="20"/>
          <w:szCs w:val="20"/>
          <w:lang w:val="en" w:eastAsia="en-AU"/>
        </w:rPr>
        <w:t>c</w:t>
      </w:r>
      <w:r w:rsidR="0096255A" w:rsidRPr="0077515B">
        <w:rPr>
          <w:sz w:val="20"/>
          <w:szCs w:val="20"/>
          <w:lang w:val="en" w:eastAsia="en-AU"/>
        </w:rPr>
        <w:t>ommittee chair</w:t>
      </w:r>
    </w:p>
    <w:p w14:paraId="15DCD501" w14:textId="77777777" w:rsidR="00E02D85" w:rsidRPr="0077515B" w:rsidRDefault="00A74341" w:rsidP="00A74341">
      <w:pPr>
        <w:pStyle w:val="ListParagraph"/>
        <w:numPr>
          <w:ilvl w:val="0"/>
          <w:numId w:val="12"/>
        </w:numPr>
        <w:ind w:left="714" w:hanging="357"/>
        <w:contextualSpacing w:val="0"/>
        <w:rPr>
          <w:color w:val="000000" w:themeColor="text1"/>
          <w:sz w:val="20"/>
          <w:szCs w:val="20"/>
          <w:lang w:val="en" w:eastAsia="en-AU"/>
        </w:rPr>
      </w:pPr>
      <w:r w:rsidRPr="0077515B">
        <w:rPr>
          <w:color w:val="000000" w:themeColor="text1"/>
          <w:sz w:val="20"/>
          <w:szCs w:val="20"/>
          <w:lang w:val="en" w:eastAsia="en-AU"/>
        </w:rPr>
        <w:t>the local DELWP</w:t>
      </w:r>
      <w:r w:rsidR="0096255A" w:rsidRPr="0077515B">
        <w:rPr>
          <w:color w:val="000000" w:themeColor="text1"/>
          <w:sz w:val="20"/>
          <w:szCs w:val="20"/>
          <w:lang w:val="en" w:eastAsia="en-AU"/>
        </w:rPr>
        <w:t xml:space="preserve"> </w:t>
      </w:r>
      <w:hyperlink r:id="rId15" w:history="1">
        <w:r w:rsidRPr="0077515B">
          <w:rPr>
            <w:rStyle w:val="Hyperlink"/>
            <w:color w:val="000000" w:themeColor="text1"/>
            <w:sz w:val="20"/>
            <w:szCs w:val="20"/>
          </w:rPr>
          <w:t>regional office</w:t>
        </w:r>
      </w:hyperlink>
      <w:r w:rsidRPr="0077515B">
        <w:rPr>
          <w:rFonts w:ascii="Times New Roman" w:hAnsi="Times New Roman" w:cs="Times New Roman"/>
          <w:color w:val="000000" w:themeColor="text1"/>
          <w:sz w:val="20"/>
          <w:szCs w:val="20"/>
          <w:lang w:eastAsia="en-AU"/>
        </w:rPr>
        <w:t>.</w:t>
      </w:r>
    </w:p>
    <w:p w14:paraId="15DCD502" w14:textId="77777777" w:rsidR="00966229" w:rsidRPr="00856520" w:rsidRDefault="00966229">
      <w:pPr>
        <w:rPr>
          <w:rFonts w:cs="Arial"/>
        </w:rPr>
      </w:pPr>
    </w:p>
    <w:sectPr w:rsidR="00966229" w:rsidRPr="00856520" w:rsidSect="006A2E91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5DA0" w14:textId="77777777" w:rsidR="00FF5119" w:rsidRDefault="00FF5119" w:rsidP="00153EBB">
      <w:pPr>
        <w:spacing w:after="0" w:line="240" w:lineRule="auto"/>
      </w:pPr>
      <w:r>
        <w:separator/>
      </w:r>
    </w:p>
  </w:endnote>
  <w:endnote w:type="continuationSeparator" w:id="0">
    <w:p w14:paraId="04F7BC8C" w14:textId="77777777" w:rsidR="00FF5119" w:rsidRDefault="00FF5119" w:rsidP="001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CE30" w14:textId="77777777" w:rsidR="001B345A" w:rsidRDefault="001B345A" w:rsidP="00792DFE">
    <w:pPr>
      <w:pStyle w:val="Footer"/>
      <w:tabs>
        <w:tab w:val="clear" w:pos="4513"/>
        <w:tab w:val="center" w:pos="5670"/>
      </w:tabs>
      <w:rPr>
        <w:rFonts w:cs="Arial"/>
        <w:sz w:val="16"/>
        <w:szCs w:val="16"/>
      </w:rPr>
    </w:pPr>
  </w:p>
  <w:p w14:paraId="15DCD50A" w14:textId="1621911B" w:rsidR="00792DFE" w:rsidRPr="00C6380C" w:rsidRDefault="00792DFE" w:rsidP="00792DFE">
    <w:pPr>
      <w:pStyle w:val="Footer"/>
      <w:tabs>
        <w:tab w:val="clear" w:pos="4513"/>
        <w:tab w:val="center" w:pos="5670"/>
      </w:tabs>
      <w:rPr>
        <w:rFonts w:cs="Arial"/>
        <w:sz w:val="16"/>
        <w:szCs w:val="16"/>
      </w:rPr>
    </w:pPr>
    <w:r w:rsidRPr="00827937"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767829470"/>
        <w:docPartObj>
          <w:docPartGallery w:val="Page Numbers (Top of Page)"/>
          <w:docPartUnique/>
        </w:docPartObj>
      </w:sdtPr>
      <w:sdtEndPr/>
      <w:sdtContent>
        <w:r w:rsidRPr="00827937">
          <w:rPr>
            <w:rFonts w:cs="Arial"/>
            <w:sz w:val="16"/>
            <w:szCs w:val="16"/>
          </w:rPr>
          <w:t xml:space="preserve">Page </w:t>
        </w:r>
        <w:r w:rsidRPr="00827937">
          <w:rPr>
            <w:rFonts w:cs="Arial"/>
            <w:sz w:val="16"/>
            <w:szCs w:val="16"/>
          </w:rPr>
          <w:fldChar w:fldCharType="begin"/>
        </w:r>
        <w:r w:rsidRPr="00827937">
          <w:rPr>
            <w:rFonts w:cs="Arial"/>
            <w:sz w:val="16"/>
            <w:szCs w:val="16"/>
          </w:rPr>
          <w:instrText xml:space="preserve"> PAGE </w:instrText>
        </w:r>
        <w:r w:rsidRPr="00827937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sz w:val="16"/>
            <w:szCs w:val="16"/>
          </w:rPr>
          <w:t>8</w:t>
        </w:r>
        <w:r w:rsidRPr="00827937">
          <w:rPr>
            <w:rFonts w:cs="Arial"/>
            <w:sz w:val="16"/>
            <w:szCs w:val="16"/>
          </w:rPr>
          <w:fldChar w:fldCharType="end"/>
        </w:r>
        <w:r w:rsidRPr="00827937">
          <w:rPr>
            <w:rFonts w:cs="Arial"/>
            <w:sz w:val="16"/>
            <w:szCs w:val="16"/>
          </w:rPr>
          <w:t xml:space="preserve"> of </w:t>
        </w:r>
        <w:r w:rsidRPr="00827937">
          <w:rPr>
            <w:rFonts w:cs="Arial"/>
            <w:sz w:val="16"/>
            <w:szCs w:val="16"/>
          </w:rPr>
          <w:fldChar w:fldCharType="begin"/>
        </w:r>
        <w:r w:rsidRPr="00827937">
          <w:rPr>
            <w:rFonts w:cs="Arial"/>
            <w:sz w:val="16"/>
            <w:szCs w:val="16"/>
          </w:rPr>
          <w:instrText xml:space="preserve"> NUMPAGES  </w:instrText>
        </w:r>
        <w:r w:rsidRPr="00827937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sz w:val="16"/>
            <w:szCs w:val="16"/>
          </w:rPr>
          <w:t>15</w:t>
        </w:r>
        <w:r w:rsidRPr="00827937">
          <w:rPr>
            <w:rFonts w:cs="Arial"/>
            <w:noProof/>
            <w:sz w:val="16"/>
            <w:szCs w:val="16"/>
          </w:rPr>
          <w:fldChar w:fldCharType="end"/>
        </w:r>
      </w:sdtContent>
    </w:sdt>
    <w:r w:rsidRPr="00827937">
      <w:rPr>
        <w:rFonts w:cs="Arial"/>
        <w:sz w:val="16"/>
        <w:szCs w:val="16"/>
      </w:rPr>
      <w:t xml:space="preserve"> </w:t>
    </w:r>
    <w:r w:rsidRPr="00827937">
      <w:rPr>
        <w:rFonts w:cs="Arial"/>
        <w:sz w:val="16"/>
        <w:szCs w:val="16"/>
      </w:rPr>
      <w:tab/>
      <w:t xml:space="preserve"> </w:t>
    </w:r>
  </w:p>
  <w:p w14:paraId="15DCD50B" w14:textId="77777777" w:rsidR="00792DFE" w:rsidRDefault="00792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50AC" w14:textId="77777777" w:rsidR="00FF5119" w:rsidRDefault="00FF5119" w:rsidP="00153EBB">
      <w:pPr>
        <w:spacing w:after="0" w:line="240" w:lineRule="auto"/>
      </w:pPr>
      <w:r>
        <w:separator/>
      </w:r>
    </w:p>
  </w:footnote>
  <w:footnote w:type="continuationSeparator" w:id="0">
    <w:p w14:paraId="2B1E073D" w14:textId="77777777" w:rsidR="00FF5119" w:rsidRDefault="00FF5119" w:rsidP="001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3E2"/>
    <w:multiLevelType w:val="multilevel"/>
    <w:tmpl w:val="0DB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609B"/>
    <w:multiLevelType w:val="multilevel"/>
    <w:tmpl w:val="E2E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87B4E"/>
    <w:multiLevelType w:val="hybridMultilevel"/>
    <w:tmpl w:val="406CB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674"/>
    <w:multiLevelType w:val="hybridMultilevel"/>
    <w:tmpl w:val="8A2C3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98A"/>
    <w:multiLevelType w:val="hybridMultilevel"/>
    <w:tmpl w:val="F382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16EF"/>
    <w:multiLevelType w:val="multilevel"/>
    <w:tmpl w:val="256A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64918"/>
    <w:multiLevelType w:val="multilevel"/>
    <w:tmpl w:val="E0E4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B0CF5"/>
    <w:multiLevelType w:val="hybridMultilevel"/>
    <w:tmpl w:val="A1BC2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20FC5"/>
    <w:multiLevelType w:val="multilevel"/>
    <w:tmpl w:val="53F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F6695"/>
    <w:multiLevelType w:val="hybridMultilevel"/>
    <w:tmpl w:val="3A9E3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749FD"/>
    <w:multiLevelType w:val="hybridMultilevel"/>
    <w:tmpl w:val="72AC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B6293"/>
    <w:multiLevelType w:val="hybridMultilevel"/>
    <w:tmpl w:val="E5245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13607"/>
    <w:multiLevelType w:val="hybridMultilevel"/>
    <w:tmpl w:val="BB424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0397F"/>
    <w:multiLevelType w:val="hybridMultilevel"/>
    <w:tmpl w:val="E23A6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60516"/>
    <w:multiLevelType w:val="multilevel"/>
    <w:tmpl w:val="7A36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85"/>
    <w:rsid w:val="00087288"/>
    <w:rsid w:val="000D0293"/>
    <w:rsid w:val="000F3923"/>
    <w:rsid w:val="00153EBB"/>
    <w:rsid w:val="001615CD"/>
    <w:rsid w:val="00185045"/>
    <w:rsid w:val="001B345A"/>
    <w:rsid w:val="001E19D6"/>
    <w:rsid w:val="001E3EE8"/>
    <w:rsid w:val="00227D20"/>
    <w:rsid w:val="002538CA"/>
    <w:rsid w:val="00267C06"/>
    <w:rsid w:val="002C3470"/>
    <w:rsid w:val="003858DC"/>
    <w:rsid w:val="003A0EF6"/>
    <w:rsid w:val="00403DE0"/>
    <w:rsid w:val="00413ED7"/>
    <w:rsid w:val="004548BD"/>
    <w:rsid w:val="00471ED8"/>
    <w:rsid w:val="00480DA0"/>
    <w:rsid w:val="004B64C3"/>
    <w:rsid w:val="004F3F70"/>
    <w:rsid w:val="005558EC"/>
    <w:rsid w:val="005B2018"/>
    <w:rsid w:val="005D6B3C"/>
    <w:rsid w:val="00621EDF"/>
    <w:rsid w:val="00630617"/>
    <w:rsid w:val="006365D3"/>
    <w:rsid w:val="006669C3"/>
    <w:rsid w:val="00692881"/>
    <w:rsid w:val="006A10CA"/>
    <w:rsid w:val="006A2E91"/>
    <w:rsid w:val="007747B4"/>
    <w:rsid w:val="0077515B"/>
    <w:rsid w:val="00777EDA"/>
    <w:rsid w:val="007911A6"/>
    <w:rsid w:val="00792DFE"/>
    <w:rsid w:val="00796677"/>
    <w:rsid w:val="007D3ACD"/>
    <w:rsid w:val="007D6A79"/>
    <w:rsid w:val="007E7171"/>
    <w:rsid w:val="008019E9"/>
    <w:rsid w:val="00843C6C"/>
    <w:rsid w:val="00856520"/>
    <w:rsid w:val="00882A97"/>
    <w:rsid w:val="008931E9"/>
    <w:rsid w:val="008E3280"/>
    <w:rsid w:val="00951921"/>
    <w:rsid w:val="0096255A"/>
    <w:rsid w:val="00966229"/>
    <w:rsid w:val="009674E1"/>
    <w:rsid w:val="00970E53"/>
    <w:rsid w:val="0097634B"/>
    <w:rsid w:val="0097763C"/>
    <w:rsid w:val="009827B7"/>
    <w:rsid w:val="009B5D79"/>
    <w:rsid w:val="009C1667"/>
    <w:rsid w:val="009E00DD"/>
    <w:rsid w:val="009F035E"/>
    <w:rsid w:val="009F0790"/>
    <w:rsid w:val="00A26213"/>
    <w:rsid w:val="00A74341"/>
    <w:rsid w:val="00A87562"/>
    <w:rsid w:val="00AC08B5"/>
    <w:rsid w:val="00B402A7"/>
    <w:rsid w:val="00B42302"/>
    <w:rsid w:val="00BB4177"/>
    <w:rsid w:val="00BD4519"/>
    <w:rsid w:val="00BE4832"/>
    <w:rsid w:val="00C21683"/>
    <w:rsid w:val="00C746D4"/>
    <w:rsid w:val="00C74C79"/>
    <w:rsid w:val="00C82ECD"/>
    <w:rsid w:val="00CA0E94"/>
    <w:rsid w:val="00CB1610"/>
    <w:rsid w:val="00D53075"/>
    <w:rsid w:val="00DE3C92"/>
    <w:rsid w:val="00E02D85"/>
    <w:rsid w:val="00E1525B"/>
    <w:rsid w:val="00E23CB1"/>
    <w:rsid w:val="00E54C0C"/>
    <w:rsid w:val="00F054D9"/>
    <w:rsid w:val="00F22810"/>
    <w:rsid w:val="00F60E09"/>
    <w:rsid w:val="00F73CB0"/>
    <w:rsid w:val="00F848BF"/>
    <w:rsid w:val="00F86E32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D4B2"/>
  <w15:chartTrackingRefBased/>
  <w15:docId w15:val="{919E62D1-F41B-41FB-8C9D-77F84A4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E9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E91"/>
    <w:pPr>
      <w:keepNext/>
      <w:keepLines/>
      <w:spacing w:before="240" w:after="10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2D85"/>
    <w:pPr>
      <w:spacing w:before="600" w:after="150" w:line="240" w:lineRule="auto"/>
      <w:outlineLvl w:val="1"/>
    </w:pPr>
    <w:rPr>
      <w:rFonts w:ascii="Helvetica" w:eastAsia="Times New Roman" w:hAnsi="Helvetica" w:cs="Times New Roman"/>
      <w:b/>
      <w:bCs/>
      <w:sz w:val="45"/>
      <w:szCs w:val="45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02D85"/>
    <w:pPr>
      <w:spacing w:before="480" w:after="150" w:line="240" w:lineRule="auto"/>
      <w:outlineLvl w:val="2"/>
    </w:pPr>
    <w:rPr>
      <w:rFonts w:ascii="Helvetica" w:eastAsia="Times New Roman" w:hAnsi="Helvetica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E91"/>
    <w:pPr>
      <w:keepNext/>
      <w:keepLines/>
      <w:spacing w:before="40" w:after="8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D85"/>
    <w:rPr>
      <w:rFonts w:ascii="Helvetica" w:eastAsia="Times New Roman" w:hAnsi="Helvetica" w:cs="Times New Roman"/>
      <w:b/>
      <w:bCs/>
      <w:sz w:val="45"/>
      <w:szCs w:val="45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02D85"/>
    <w:rPr>
      <w:rFonts w:ascii="Helvetica" w:eastAsia="Times New Roman" w:hAnsi="Helvetica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E02D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D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02D85"/>
    <w:rPr>
      <w:i/>
      <w:iCs/>
    </w:rPr>
  </w:style>
  <w:style w:type="paragraph" w:styleId="ListParagraph">
    <w:name w:val="List Paragraph"/>
    <w:basedOn w:val="Normal"/>
    <w:uiPriority w:val="34"/>
    <w:rsid w:val="00856520"/>
    <w:pPr>
      <w:spacing w:after="113" w:line="240" w:lineRule="atLeast"/>
      <w:ind w:left="720"/>
      <w:contextualSpacing/>
    </w:pPr>
    <w:rPr>
      <w:rFonts w:eastAsia="Times New Roman" w:cs="Arial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2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A2E91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styleId="FootnoteReference">
    <w:name w:val="footnote reference"/>
    <w:basedOn w:val="DefaultParagraphFont"/>
    <w:rsid w:val="00153EBB"/>
    <w:rPr>
      <w:color w:val="000000" w:themeColor="text1"/>
      <w:vertAlign w:val="superscript"/>
    </w:rPr>
  </w:style>
  <w:style w:type="paragraph" w:styleId="FootnoteText">
    <w:name w:val="footnote text"/>
    <w:basedOn w:val="Normal"/>
    <w:link w:val="FootnoteTextChar"/>
    <w:rsid w:val="00153EBB"/>
    <w:pPr>
      <w:tabs>
        <w:tab w:val="left" w:pos="284"/>
      </w:tabs>
      <w:spacing w:before="60" w:after="60" w:line="180" w:lineRule="atLeast"/>
      <w:ind w:left="284" w:hanging="284"/>
    </w:pPr>
    <w:rPr>
      <w:rFonts w:eastAsia="Times New Roman" w:cs="Arial"/>
      <w:color w:val="000000" w:themeColor="text1"/>
      <w:kern w:val="16"/>
      <w:sz w:val="14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153EBB"/>
    <w:rPr>
      <w:rFonts w:eastAsia="Times New Roman" w:cs="Arial"/>
      <w:color w:val="000000" w:themeColor="text1"/>
      <w:kern w:val="16"/>
      <w:sz w:val="14"/>
      <w:szCs w:val="20"/>
      <w:lang w:eastAsia="en-AU"/>
    </w:rPr>
  </w:style>
  <w:style w:type="paragraph" w:customStyle="1" w:styleId="Body">
    <w:name w:val="_Body"/>
    <w:link w:val="BodyChar"/>
    <w:qFormat/>
    <w:rsid w:val="00153EBB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60" w:after="120" w:line="240" w:lineRule="atLeast"/>
    </w:pPr>
    <w:rPr>
      <w:rFonts w:ascii="Arial" w:eastAsia="Times New Roman" w:hAnsi="Arial" w:cs="Arial"/>
      <w:color w:val="000000" w:themeColor="text1"/>
      <w:sz w:val="20"/>
      <w:szCs w:val="20"/>
    </w:rPr>
  </w:style>
  <w:style w:type="character" w:customStyle="1" w:styleId="BodyChar">
    <w:name w:val="_Body Char"/>
    <w:basedOn w:val="DefaultParagraphFont"/>
    <w:link w:val="Body"/>
    <w:locked/>
    <w:rsid w:val="00153EBB"/>
    <w:rPr>
      <w:rFonts w:ascii="Arial" w:eastAsia="Times New Roman" w:hAnsi="Arial" w:cs="Arial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53E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A743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DF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unhideWhenUsed/>
    <w:rsid w:val="00792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792DF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C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C6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C6C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7E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48B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delwp.vic.gov.au/communities-and-regions/regions-and-locations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2.delwp.vic.gov.au/communities-and-regions/regions-and-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6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Energy, Environment and Climate Change</TermName>
          <TermId xmlns="http://schemas.microsoft.com/office/infopath/2007/PartnerControls">94bee464-a01d-4057-aeaf-10b10373b617</TermId>
        </TermInfo>
      </Terms>
    </ic50d0a05a8e4d9791dac67f8a1e716c>
    <_dlc_DocId xmlns="a5f32de4-e402-4188-b034-e71ca7d22e54">DOCID589-1193700953-500</_dlc_DocId>
    <_dlc_DocIdUrl xmlns="a5f32de4-e402-4188-b034-e71ca7d22e54">
      <Url>https://delwpvicgovau.sharepoint.com/sites/ecm_589/_layouts/15/DocIdRedir.aspx?ID=DOCID589-1193700953-500</Url>
      <Description>DOCID589-1193700953-500</Description>
    </_dlc_DocIdUrl>
  </documentManagement>
</p:properties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5767-4975-496A-B98A-02D7A08E5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09082-837D-4110-B583-EC83EB4026E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B3CAD56-5996-449F-811A-B83C1E9294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c9aadbac-82ff-4dd2-bad7-8dc66b4413f5"/>
    <ds:schemaRef ds:uri="http://schemas.microsoft.com/sharepoint/v3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E6D14E-4F0A-408E-BDBE-0D1617DA0CB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86207F8-0930-4C70-991B-ACAEB704ED9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B667E3F-E068-4DC1-A32A-C56EDD1D7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90B7042-F6C6-482F-BEC6-904857FD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05 - B - Model policy - conflict of interest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05 - B - Model policy - conflict of interest</dc:title>
  <dc:subject/>
  <dc:creator>Melissa J Clavan (DELWP)</dc:creator>
  <cp:keywords/>
  <dc:description/>
  <cp:lastModifiedBy>Jen Bright (DELWP)</cp:lastModifiedBy>
  <cp:revision>6</cp:revision>
  <cp:lastPrinted>2019-12-16T07:29:00Z</cp:lastPrinted>
  <dcterms:created xsi:type="dcterms:W3CDTF">2019-12-13T10:17:00Z</dcterms:created>
  <dcterms:modified xsi:type="dcterms:W3CDTF">2019-12-16T07:30:00Z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0x0101002517F445A0F35E449C98AAD631F2B0386F04003549C29418E83645BC9DD1DC4CA98A20</vt:lpwstr>
  </property>
  <property fmtid="{D5CDD505-2E9C-101B-9397-08002B2CF9AE}" pid="3" name="Section">
    <vt:lpwstr/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23;#Land Management Policy|b5d32f8f-8c76-440a-941b-8a191c726ef8</vt:lpwstr>
  </property>
  <property fmtid="{D5CDD505-2E9C-101B-9397-08002B2CF9AE}" pid="6" name="_dlc_DocIdItemGuid">
    <vt:lpwstr>c9008869-a5fd-49b4-86ce-1ada64afb820</vt:lpwstr>
  </property>
  <property fmtid="{D5CDD505-2E9C-101B-9397-08002B2CF9AE}" pid="7" name="Division">
    <vt:lpwstr>12;#Land Management Policy|d36400fd-04a6-4fcb-8a4b-1ca5c16ad2a7</vt:lpwstr>
  </property>
  <property fmtid="{D5CDD505-2E9C-101B-9397-08002B2CF9AE}" pid="8" name="Group1">
    <vt:lpwstr>6;#Energy, Environment and Climate Change|94bee464-a01d-4057-aeaf-10b10373b617</vt:lpwstr>
  </property>
  <property fmtid="{D5CDD505-2E9C-101B-9397-08002B2CF9AE}" pid="9" name="Dissemination Limiting Marker">
    <vt:lpwstr>26;#None|cc223d34-0ee9-4df6-81c7-2f6860593f8f</vt:lpwstr>
  </property>
  <property fmtid="{D5CDD505-2E9C-101B-9397-08002B2CF9AE}" pid="10" name="Security Classification">
    <vt:lpwstr>2;#Unclassified|7fa379f4-4aba-4692-ab80-7d39d3a23cf4</vt:lpwstr>
  </property>
  <property fmtid="{D5CDD505-2E9C-101B-9397-08002B2CF9AE}" pid="11" name="Order">
    <vt:r8>33000</vt:r8>
  </property>
  <property fmtid="{D5CDD505-2E9C-101B-9397-08002B2CF9AE}" pid="12" name="Sub-Section">
    <vt:lpwstr/>
  </property>
  <property fmtid="{D5CDD505-2E9C-101B-9397-08002B2CF9AE}" pid="13" name="Project Name">
    <vt:lpwstr>49;#Guideline Refresh|904891e6-e9df-40b3-981f-914cac220198</vt:lpwstr>
  </property>
</Properties>
</file>