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68EB" w:rsidRPr="008268EB" w:rsidRDefault="008268EB" w:rsidP="008268EB">
      <w:pPr>
        <w:spacing w:before="360" w:after="120" w:line="560" w:lineRule="exact"/>
        <w:outlineLvl w:val="0"/>
        <w:rPr>
          <w:rFonts w:ascii="Segoe UI Semibold" w:hAnsi="Segoe UI Semibold" w:cs="Segoe UI"/>
          <w:color w:val="0074A1"/>
          <w:sz w:val="44"/>
          <w:szCs w:val="44"/>
        </w:rPr>
      </w:pPr>
      <w:bookmarkStart w:id="0" w:name="_Toc30491972"/>
      <w:bookmarkStart w:id="1" w:name="_Toc11768288"/>
      <w:bookmarkStart w:id="2" w:name="_Toc33002069"/>
      <w:bookmarkStart w:id="3" w:name="_GoBack"/>
      <w:bookmarkEnd w:id="3"/>
      <w:r w:rsidRPr="008268EB">
        <w:rPr>
          <w:rFonts w:ascii="Segoe UI Semibold" w:hAnsi="Segoe UI Semibold" w:cs="Segoe UI"/>
          <w:color w:val="0074A1"/>
          <w:sz w:val="44"/>
          <w:szCs w:val="44"/>
        </w:rPr>
        <w:t xml:space="preserve">Environmental </w:t>
      </w:r>
      <w:bookmarkEnd w:id="0"/>
      <w:r w:rsidRPr="008268EB">
        <w:rPr>
          <w:rFonts w:ascii="Segoe UI Semibold" w:hAnsi="Segoe UI Semibold" w:cs="Segoe UI"/>
          <w:color w:val="0074A1"/>
          <w:sz w:val="44"/>
          <w:szCs w:val="44"/>
        </w:rPr>
        <w:t>values</w:t>
      </w:r>
      <w:bookmarkEnd w:id="1"/>
      <w:bookmarkEnd w:id="2"/>
    </w:p>
    <w:p w:rsidR="008268EB" w:rsidRPr="008268EB" w:rsidRDefault="008268EB" w:rsidP="008268EB">
      <w:pPr>
        <w:jc w:val="both"/>
        <w:rPr>
          <w:rFonts w:ascii="Segoe UI" w:hAnsi="Segoe UI" w:cs="Segoe UI"/>
        </w:rPr>
      </w:pPr>
      <w:r w:rsidRPr="008268EB">
        <w:rPr>
          <w:rFonts w:ascii="Segoe UI" w:hAnsi="Segoe UI" w:cs="Segoe UI"/>
        </w:rPr>
        <w:t xml:space="preserve">This section reports on the environmental values that are specifically listed in para. (a)(i) of the definition of ‘RFA’ in the RFA Act: old growth, wilderness, endangered species, national estate values and World Heritage values. Biodiversity values and wetland values have also been included under the ‘environmental values’ heading. </w:t>
      </w:r>
    </w:p>
    <w:p w:rsidR="008268EB" w:rsidRPr="008268EB" w:rsidRDefault="008268EB" w:rsidP="008268EB">
      <w:pPr>
        <w:jc w:val="both"/>
        <w:rPr>
          <w:rFonts w:ascii="Segoe UI" w:hAnsi="Segoe UI" w:cs="Segoe UI"/>
        </w:rPr>
      </w:pPr>
      <w:r w:rsidRPr="008268EB">
        <w:rPr>
          <w:rFonts w:ascii="Segoe UI" w:hAnsi="Segoe UI" w:cs="Segoe UI"/>
        </w:rPr>
        <w:t xml:space="preserve">This section includes the following Australian Montréal Process indicators: </w:t>
      </w:r>
    </w:p>
    <w:p w:rsidR="008268EB" w:rsidRPr="00F30F0A" w:rsidRDefault="008268EB" w:rsidP="00F30F0A">
      <w:pPr>
        <w:pStyle w:val="ListParagraph"/>
        <w:numPr>
          <w:ilvl w:val="0"/>
          <w:numId w:val="48"/>
        </w:numPr>
        <w:ind w:left="709" w:hanging="425"/>
      </w:pPr>
      <w:r w:rsidRPr="00F30F0A">
        <w:t>Indicator 1.1a – Area of forest by forest type and tenure</w:t>
      </w:r>
    </w:p>
    <w:p w:rsidR="008268EB" w:rsidRPr="00F30F0A" w:rsidRDefault="008268EB" w:rsidP="00F30F0A">
      <w:pPr>
        <w:pStyle w:val="ListParagraph"/>
        <w:numPr>
          <w:ilvl w:val="0"/>
          <w:numId w:val="48"/>
        </w:numPr>
        <w:ind w:left="709" w:hanging="425"/>
      </w:pPr>
      <w:r w:rsidRPr="00F30F0A">
        <w:t xml:space="preserve">Indicator 1.1b – Area of forest by growth stage </w:t>
      </w:r>
    </w:p>
    <w:p w:rsidR="008268EB" w:rsidRPr="00F30F0A" w:rsidRDefault="008268EB" w:rsidP="00F30F0A">
      <w:pPr>
        <w:pStyle w:val="ListParagraph"/>
        <w:numPr>
          <w:ilvl w:val="0"/>
          <w:numId w:val="48"/>
        </w:numPr>
        <w:ind w:left="709" w:hanging="425"/>
      </w:pPr>
      <w:r w:rsidRPr="00F30F0A">
        <w:t xml:space="preserve">Indicator 1.1c – Area of forest in protected area categories </w:t>
      </w:r>
    </w:p>
    <w:p w:rsidR="008268EB" w:rsidRPr="00F30F0A" w:rsidRDefault="008268EB" w:rsidP="00F30F0A">
      <w:pPr>
        <w:pStyle w:val="ListParagraph"/>
        <w:numPr>
          <w:ilvl w:val="0"/>
          <w:numId w:val="48"/>
        </w:numPr>
        <w:ind w:left="709" w:hanging="425"/>
      </w:pPr>
      <w:r w:rsidRPr="00F30F0A">
        <w:t xml:space="preserve">Indicator 1.1d – </w:t>
      </w:r>
      <w:r w:rsidRPr="00F30F0A">
        <w:rPr>
          <w:lang w:eastAsia="ja-JP"/>
        </w:rPr>
        <w:t>Fragmentation of forest cover</w:t>
      </w:r>
    </w:p>
    <w:p w:rsidR="008268EB" w:rsidRPr="00F30F0A" w:rsidRDefault="008268EB" w:rsidP="00F30F0A">
      <w:pPr>
        <w:pStyle w:val="ListParagraph"/>
        <w:numPr>
          <w:ilvl w:val="0"/>
          <w:numId w:val="48"/>
        </w:numPr>
        <w:ind w:left="709" w:hanging="425"/>
      </w:pPr>
      <w:r w:rsidRPr="00F30F0A">
        <w:t xml:space="preserve">Indicator 1.2a – Forest-dwelling species for which ecological information is available </w:t>
      </w:r>
    </w:p>
    <w:p w:rsidR="008268EB" w:rsidRPr="00F30F0A" w:rsidRDefault="008268EB" w:rsidP="00F30F0A">
      <w:pPr>
        <w:pStyle w:val="ListParagraph"/>
        <w:numPr>
          <w:ilvl w:val="0"/>
          <w:numId w:val="48"/>
        </w:numPr>
        <w:ind w:left="709" w:hanging="425"/>
      </w:pPr>
      <w:r w:rsidRPr="00F30F0A">
        <w:t>Indicator 1.2b – The status of forest-dwelling species at risk of not maintaining viable breeding population, as determined by legislation or scientific assessment</w:t>
      </w:r>
    </w:p>
    <w:p w:rsidR="008268EB" w:rsidRPr="00F30F0A" w:rsidRDefault="008268EB" w:rsidP="00F30F0A">
      <w:pPr>
        <w:pStyle w:val="ListParagraph"/>
        <w:numPr>
          <w:ilvl w:val="0"/>
          <w:numId w:val="48"/>
        </w:numPr>
        <w:ind w:left="709" w:hanging="425"/>
      </w:pPr>
      <w:r w:rsidRPr="00F30F0A">
        <w:t>Indicator 1.2c – Representative species from a range of habitats monitored at scales relevant to regional forest management</w:t>
      </w:r>
    </w:p>
    <w:p w:rsidR="008268EB" w:rsidRPr="00F30F0A" w:rsidRDefault="008268EB" w:rsidP="00F30F0A">
      <w:pPr>
        <w:pStyle w:val="ListParagraph"/>
        <w:numPr>
          <w:ilvl w:val="0"/>
          <w:numId w:val="48"/>
        </w:numPr>
        <w:ind w:left="709" w:hanging="425"/>
      </w:pPr>
      <w:r w:rsidRPr="00F30F0A">
        <w:t xml:space="preserve">Indicator 1.3a – Forest associated species at risk from isolation and the loss of genetic variation, and conservation efforts for those species </w:t>
      </w:r>
    </w:p>
    <w:p w:rsidR="008268EB" w:rsidRPr="00F30F0A" w:rsidRDefault="008268EB" w:rsidP="00F30F0A">
      <w:pPr>
        <w:pStyle w:val="ListParagraph"/>
        <w:numPr>
          <w:ilvl w:val="0"/>
          <w:numId w:val="48"/>
        </w:numPr>
        <w:ind w:left="709" w:hanging="425"/>
      </w:pPr>
      <w:r w:rsidRPr="00F30F0A">
        <w:t>Indicator 1.3b – Native forest and plantations of indigenous timber species which have genetic resource conservation mechanisms in place</w:t>
      </w:r>
    </w:p>
    <w:p w:rsidR="008268EB" w:rsidRPr="00F30F0A" w:rsidRDefault="008268EB" w:rsidP="00F30F0A">
      <w:pPr>
        <w:pStyle w:val="ListParagraph"/>
        <w:numPr>
          <w:ilvl w:val="0"/>
          <w:numId w:val="48"/>
        </w:numPr>
        <w:ind w:left="709" w:hanging="425"/>
      </w:pPr>
      <w:r w:rsidRPr="00F30F0A">
        <w:t>Indicator 4.1a – Area of forest land managed primarily for protective functions</w:t>
      </w:r>
    </w:p>
    <w:p w:rsidR="008268EB" w:rsidRPr="00F30F0A" w:rsidRDefault="008268EB" w:rsidP="00F30F0A">
      <w:pPr>
        <w:pStyle w:val="ListParagraph"/>
        <w:numPr>
          <w:ilvl w:val="0"/>
          <w:numId w:val="48"/>
        </w:numPr>
        <w:ind w:left="709" w:hanging="425"/>
      </w:pPr>
      <w:r w:rsidRPr="00F30F0A">
        <w:t>Indicator 4.1b – Management of the risk of soil erosion in forests</w:t>
      </w:r>
    </w:p>
    <w:p w:rsidR="008268EB" w:rsidRPr="00F30F0A" w:rsidRDefault="008268EB" w:rsidP="00F30F0A">
      <w:pPr>
        <w:pStyle w:val="ListParagraph"/>
        <w:numPr>
          <w:ilvl w:val="0"/>
          <w:numId w:val="48"/>
        </w:numPr>
        <w:ind w:left="709" w:hanging="425"/>
      </w:pPr>
      <w:r w:rsidRPr="00F30F0A">
        <w:t>Indicator 4.1c – Management of the risks to soil physical properties in forests</w:t>
      </w:r>
    </w:p>
    <w:p w:rsidR="008268EB" w:rsidRPr="00F30F0A" w:rsidRDefault="008268EB" w:rsidP="00F30F0A">
      <w:pPr>
        <w:pStyle w:val="ListParagraph"/>
        <w:numPr>
          <w:ilvl w:val="0"/>
          <w:numId w:val="48"/>
        </w:numPr>
        <w:ind w:left="709" w:hanging="425"/>
      </w:pPr>
      <w:r w:rsidRPr="00F30F0A">
        <w:t>Indicator 4.1d –</w:t>
      </w:r>
      <w:r w:rsidRPr="00F30F0A">
        <w:rPr>
          <w:b/>
        </w:rPr>
        <w:t xml:space="preserve"> </w:t>
      </w:r>
      <w:r w:rsidRPr="00F30F0A">
        <w:t>Management of the risks to water quantity from forests</w:t>
      </w:r>
    </w:p>
    <w:p w:rsidR="008268EB" w:rsidRPr="00F30F0A" w:rsidRDefault="008268EB" w:rsidP="00F30F0A">
      <w:pPr>
        <w:pStyle w:val="ListParagraph"/>
        <w:numPr>
          <w:ilvl w:val="0"/>
          <w:numId w:val="48"/>
        </w:numPr>
        <w:ind w:left="709" w:hanging="425"/>
      </w:pPr>
      <w:r w:rsidRPr="00F30F0A">
        <w:t>Indicator 4.1e –- Management of the risks to water quality in forests</w:t>
      </w:r>
    </w:p>
    <w:p w:rsidR="008268EB" w:rsidRPr="00F30F0A" w:rsidRDefault="008268EB" w:rsidP="00F30F0A">
      <w:pPr>
        <w:pStyle w:val="ListParagraph"/>
        <w:numPr>
          <w:ilvl w:val="0"/>
          <w:numId w:val="48"/>
        </w:numPr>
        <w:ind w:left="709" w:hanging="425"/>
      </w:pPr>
      <w:r w:rsidRPr="00F30F0A">
        <w:t>Indicator 6.4b – Registered places of non-Indigenous cultural value in forests that are formally managed to protect those values</w:t>
      </w:r>
    </w:p>
    <w:p w:rsidR="008268EB" w:rsidRPr="008268EB" w:rsidRDefault="008268EB" w:rsidP="008268EB">
      <w:pPr>
        <w:jc w:val="both"/>
        <w:rPr>
          <w:rFonts w:ascii="Segoe UI" w:hAnsi="Segoe UI" w:cs="Segoe UI"/>
        </w:rPr>
      </w:pPr>
      <w:r w:rsidRPr="008268EB">
        <w:rPr>
          <w:rFonts w:ascii="Segoe UI" w:hAnsi="Segoe UI" w:cs="Segoe UI"/>
        </w:rPr>
        <w:t>Information is drawn from the original documentation produced as part of the CRA process and subsequent reports. These include the Australian State of the Forests Report (ASOFR) and the Victorian State of the Forests Report (VSOFR), State of the Environment reports, statutory independent five-yearly reviews of Victorian RFAs required under the RFAs, and other relevant data.</w:t>
      </w: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before="360" w:after="240" w:line="440" w:lineRule="atLeast"/>
        <w:outlineLvl w:val="1"/>
        <w:rPr>
          <w:rFonts w:ascii="Segoe UI" w:hAnsi="Segoe UI" w:cs="Segoe UI"/>
          <w:b/>
          <w:color w:val="0074A1"/>
          <w:sz w:val="32"/>
          <w:szCs w:val="32"/>
        </w:rPr>
      </w:pPr>
      <w:bookmarkStart w:id="4" w:name="_Toc11768289"/>
      <w:bookmarkStart w:id="5" w:name="_Toc30491973"/>
      <w:bookmarkStart w:id="6" w:name="_Toc33002070"/>
      <w:r w:rsidRPr="008268EB">
        <w:rPr>
          <w:rFonts w:ascii="Segoe UI" w:hAnsi="Segoe UI" w:cs="Segoe UI"/>
          <w:b/>
          <w:color w:val="0074A1"/>
          <w:sz w:val="32"/>
          <w:szCs w:val="32"/>
        </w:rPr>
        <w:lastRenderedPageBreak/>
        <w:t>Old-growth values</w:t>
      </w:r>
      <w:bookmarkEnd w:id="4"/>
      <w:bookmarkEnd w:id="5"/>
      <w:bookmarkEnd w:id="6"/>
    </w:p>
    <w:p w:rsidR="008268EB" w:rsidRPr="008268EB" w:rsidRDefault="008268EB" w:rsidP="008268EB">
      <w:pPr>
        <w:jc w:val="both"/>
        <w:rPr>
          <w:rFonts w:ascii="Segoe UI" w:hAnsi="Segoe UI" w:cs="Segoe UI"/>
        </w:rPr>
      </w:pPr>
      <w:r w:rsidRPr="008268EB">
        <w:rPr>
          <w:rFonts w:ascii="Segoe UI" w:hAnsi="Segoe UI" w:cs="Segoe UI"/>
        </w:rPr>
        <w:t>Old-growth forests are prized for their ecological, spiritual and aesthetic significance and relative rarity across the globe. Many countries protect old-growth forests through legislative instruments. Similarly, forest certification schemes such as the Forest Stewardship Council (FSC) require old-growth forests be recognised as of high conservation value and protected accordingly. Despite the broad recognition of the value of old-growth forests, finding a commonly agreed definition for these forests is challenging. The 98-item list of different formal definitions of old-growth forest from around the world, prepared by the Food and Agriculture Organization of the United Nations (FAO), illustrates this well (FAO 2002).</w:t>
      </w:r>
    </w:p>
    <w:p w:rsidR="008268EB" w:rsidRPr="008268EB" w:rsidRDefault="008268EB" w:rsidP="008268EB">
      <w:pPr>
        <w:jc w:val="both"/>
        <w:rPr>
          <w:rFonts w:ascii="Segoe UI" w:hAnsi="Segoe UI" w:cs="Segoe UI"/>
        </w:rPr>
      </w:pPr>
      <w:r w:rsidRPr="008268EB">
        <w:rPr>
          <w:rFonts w:ascii="Segoe UI" w:hAnsi="Segoe UI" w:cs="Segoe UI"/>
        </w:rPr>
        <w:t>Victorian work led by Peter Woodgate in the 1990s significantly contributed to the development of the national old growth definition (the ‘JANIS’ definition): ‘Old-growth forest is ecologically mature forest where the effects of disturbance are now negligible’ (Joint ANZECC/MCFFA NFPS Implementation Sub-committee [JANIS] 1997).</w:t>
      </w:r>
    </w:p>
    <w:p w:rsidR="008268EB" w:rsidRPr="008268EB" w:rsidRDefault="008268EB" w:rsidP="008268EB">
      <w:pPr>
        <w:jc w:val="both"/>
        <w:rPr>
          <w:rFonts w:ascii="Segoe UI" w:hAnsi="Segoe UI" w:cs="Segoe UI"/>
        </w:rPr>
      </w:pPr>
      <w:r w:rsidRPr="008268EB">
        <w:rPr>
          <w:rFonts w:ascii="Segoe UI" w:hAnsi="Segoe UI" w:cs="Segoe UI"/>
        </w:rPr>
        <w:t>Woodgate’s work enabled Victoria to define old-growth forest in a regionally specific manner, and this definition and associated mapping endures in Victorian forest management to this day. The definition is as follows:</w:t>
      </w:r>
    </w:p>
    <w:p w:rsidR="008268EB" w:rsidRPr="008268EB" w:rsidRDefault="008268EB" w:rsidP="008268EB">
      <w:pPr>
        <w:spacing w:line="250" w:lineRule="auto"/>
        <w:ind w:left="794" w:right="794"/>
        <w:jc w:val="both"/>
        <w:rPr>
          <w:rFonts w:ascii="Segoe UI" w:hAnsi="Segoe UI" w:cs="Segoe UI"/>
          <w:i/>
          <w:iCs/>
          <w:sz w:val="20"/>
          <w:szCs w:val="14"/>
        </w:rPr>
      </w:pPr>
      <w:r w:rsidRPr="008268EB">
        <w:rPr>
          <w:rFonts w:ascii="Segoe UI" w:hAnsi="Segoe UI" w:cs="Segoe UI"/>
          <w:i/>
          <w:iCs/>
          <w:sz w:val="20"/>
          <w:szCs w:val="14"/>
        </w:rPr>
        <w:t>Old-growth forest is forest which contains significant amounts of its oldest growth stage in the upper stratum – usually senescing trees – and has been subjected to any disturbance, the effect of which is now negligible.</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(Woodgate et al 1994, p. v)</w:t>
      </w:r>
    </w:p>
    <w:p w:rsidR="008268EB" w:rsidRPr="008268EB" w:rsidRDefault="008268EB" w:rsidP="008268EB">
      <w:pPr>
        <w:jc w:val="both"/>
        <w:rPr>
          <w:rFonts w:ascii="Segoe UI" w:hAnsi="Segoe UI" w:cs="Segoe UI"/>
        </w:rPr>
      </w:pPr>
      <w:proofErr w:type="spellStart"/>
      <w:r w:rsidRPr="008268EB">
        <w:rPr>
          <w:rFonts w:ascii="Segoe UI" w:hAnsi="Segoe UI" w:cs="Segoe UI"/>
        </w:rPr>
        <w:t>VicForests</w:t>
      </w:r>
      <w:proofErr w:type="spellEnd"/>
      <w:r w:rsidRPr="008268EB">
        <w:rPr>
          <w:rFonts w:ascii="Segoe UI" w:hAnsi="Segoe UI" w:cs="Segoe UI"/>
        </w:rPr>
        <w:t xml:space="preserve"> relies on the definitions and datasets generated under the Woodgate system and managed by the Department of Environment, Land, Water and Planning (DELWP) to define old growth so it can adequately protect areas of high conservation value. In this way it applies a single definition for its mapping process. The definition is defined in the Management Standards and Procedures for timber harvesting operations in Victoria’s State forests 2014 (an incorporated document to the Code of Practice for Timber Production 2014), as follows:</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 xml:space="preserve">Forest </w:t>
      </w:r>
      <w:r w:rsidRPr="008268EB">
        <w:rPr>
          <w:rFonts w:ascii="Segoe UI" w:hAnsi="Segoe UI" w:cs="Segoe UI"/>
          <w:i/>
          <w:iCs/>
          <w:sz w:val="20"/>
          <w:szCs w:val="14"/>
        </w:rPr>
        <w:t xml:space="preserve">which contains significant amounts of its oldest growth stage ‐ usually senescent trees ‐ in the upper stratum and has been subject to any disturbance, the effect of which is now negligible. For a stand to qualify as old‐growth, the regrowth growth stage, if present, must be sparse (less than </w:t>
      </w:r>
      <w:r w:rsidRPr="008268EB">
        <w:rPr>
          <w:rFonts w:ascii="Segoe UI" w:hAnsi="Segoe UI" w:cs="Segoe UI"/>
          <w:iCs/>
          <w:sz w:val="20"/>
          <w:szCs w:val="14"/>
        </w:rPr>
        <w:t>per cent</w:t>
      </w:r>
      <w:r w:rsidRPr="008268EB">
        <w:rPr>
          <w:rFonts w:ascii="Segoe UI" w:hAnsi="Segoe UI" w:cs="Segoe UI"/>
          <w:i/>
          <w:iCs/>
          <w:sz w:val="20"/>
          <w:szCs w:val="14"/>
        </w:rPr>
        <w:t xml:space="preserve"> of the total crown cover of the stand). Negligibly disturbed forest is that in which disturbance is known to have occurred, but the disturbance is unlikely to have altered the structure (growth stage and crown cover) or the usual species composition which characterises a given vegetation class; or, if the alteration did occur in the past, it is no longer measurable. </w:t>
      </w:r>
      <w:r w:rsidRPr="008268EB">
        <w:rPr>
          <w:rFonts w:ascii="Segoe UI" w:hAnsi="Segoe UI" w:cs="Segoe UI"/>
          <w:iCs/>
          <w:sz w:val="20"/>
          <w:szCs w:val="14"/>
        </w:rPr>
        <w:t>(Management Standards and Procedures for timber harvesting operations in Victoria’s State forests 2014, p.15)</w:t>
      </w:r>
    </w:p>
    <w:p w:rsidR="008268EB" w:rsidRPr="008268EB" w:rsidRDefault="008268EB" w:rsidP="008268EB">
      <w:pPr>
        <w:keepNext/>
        <w:spacing w:before="240" w:after="240" w:line="240" w:lineRule="auto"/>
        <w:outlineLvl w:val="2"/>
        <w:rPr>
          <w:rFonts w:ascii="Segoe UI" w:hAnsi="Segoe UI" w:cs="Segoe UI"/>
          <w:b/>
          <w:color w:val="000000"/>
          <w:sz w:val="24"/>
          <w:szCs w:val="24"/>
        </w:rPr>
      </w:pPr>
      <w:bookmarkStart w:id="7" w:name="_Toc11768290"/>
      <w:bookmarkStart w:id="8" w:name="_Toc30491974"/>
      <w:bookmarkStart w:id="9" w:name="_Toc33002071"/>
      <w:bookmarkStart w:id="10" w:name="_Hlk18581277"/>
      <w:r w:rsidRPr="008268EB">
        <w:rPr>
          <w:rFonts w:ascii="Segoe UI" w:hAnsi="Segoe UI" w:cs="Segoe UI"/>
          <w:b/>
          <w:color w:val="000000"/>
          <w:sz w:val="24"/>
          <w:szCs w:val="24"/>
        </w:rPr>
        <w:t>Indicator 1.1b: Area of forest type by growth stage</w:t>
      </w:r>
      <w:bookmarkEnd w:id="7"/>
      <w:bookmarkEnd w:id="8"/>
      <w:bookmarkEnd w:id="9"/>
    </w:p>
    <w:bookmarkEnd w:id="10"/>
    <w:p w:rsidR="008268EB" w:rsidRPr="008268EB" w:rsidRDefault="008268EB" w:rsidP="008268EB">
      <w:pPr>
        <w:jc w:val="both"/>
        <w:rPr>
          <w:rFonts w:ascii="Segoe UI" w:hAnsi="Segoe UI" w:cs="Segoe UI"/>
        </w:rPr>
      </w:pPr>
      <w:r w:rsidRPr="008268EB">
        <w:rPr>
          <w:rFonts w:ascii="Segoe UI" w:hAnsi="Segoe UI" w:cs="Segoe UI"/>
        </w:rPr>
        <w:t xml:space="preserve">This indicator measures the change in area of forest by growth stage to reflect how ecological processes and species associated with those processes change as forests grow. The age and size of trees is important in maintaining forest biodiversity. </w:t>
      </w:r>
    </w:p>
    <w:p w:rsidR="008268EB" w:rsidRPr="008268EB" w:rsidRDefault="008268EB" w:rsidP="008268EB">
      <w:pPr>
        <w:jc w:val="both"/>
        <w:rPr>
          <w:rFonts w:ascii="Segoe UI" w:hAnsi="Segoe UI" w:cs="Segoe UI"/>
        </w:rPr>
      </w:pPr>
      <w:r w:rsidRPr="008268EB">
        <w:rPr>
          <w:rFonts w:ascii="Segoe UI" w:hAnsi="Segoe UI" w:cs="Segoe UI"/>
        </w:rPr>
        <w:lastRenderedPageBreak/>
        <w:t xml:space="preserve">The term ‘old growth’ is commonly used as a growth-stage description, similar to the term ‘senescent’, which is used in the official growth-stage datasets. However, where old-growth forests are classified based on their disturbance history, senescent forests are not. In this way the datasets are maintained separately. </w:t>
      </w:r>
    </w:p>
    <w:p w:rsidR="008268EB" w:rsidRPr="008268EB" w:rsidRDefault="008268EB" w:rsidP="008268EB">
      <w:pPr>
        <w:jc w:val="both"/>
        <w:rPr>
          <w:rFonts w:ascii="Segoe UI" w:hAnsi="Segoe UI" w:cs="Segoe UI"/>
        </w:rPr>
      </w:pPr>
      <w:r w:rsidRPr="008268EB">
        <w:rPr>
          <w:rFonts w:ascii="Segoe UI" w:hAnsi="Segoe UI" w:cs="Segoe UI"/>
        </w:rPr>
        <w:t xml:space="preserve">Growth-stage information was generated as part of the </w:t>
      </w:r>
      <w:proofErr w:type="spellStart"/>
      <w:r w:rsidRPr="008268EB">
        <w:rPr>
          <w:rFonts w:ascii="Segoe UI" w:hAnsi="Segoe UI" w:cs="Segoe UI"/>
        </w:rPr>
        <w:t>Statewide</w:t>
      </w:r>
      <w:proofErr w:type="spellEnd"/>
      <w:r w:rsidRPr="008268EB">
        <w:rPr>
          <w:rFonts w:ascii="Segoe UI" w:hAnsi="Segoe UI" w:cs="Segoe UI"/>
        </w:rPr>
        <w:t xml:space="preserve"> Forest Resource Inventory (SFRI) which was initiated in 1993 and completed in 2004 (</w:t>
      </w:r>
      <w:r w:rsidRPr="008268EB">
        <w:rPr>
          <w:rFonts w:ascii="Segoe UI" w:hAnsi="Segoe UI" w:cs="Segoe UI"/>
        </w:rPr>
        <w:fldChar w:fldCharType="begin"/>
      </w:r>
      <w:r w:rsidRPr="008268EB">
        <w:rPr>
          <w:rFonts w:ascii="Segoe UI" w:hAnsi="Segoe UI" w:cs="Segoe UI"/>
        </w:rPr>
        <w:instrText xml:space="preserve"> REF _Ref13667451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4</w:t>
      </w:r>
      <w:r w:rsidRPr="008268EB">
        <w:rPr>
          <w:rFonts w:ascii="Segoe UI" w:hAnsi="Segoe UI" w:cs="Segoe UI"/>
        </w:rPr>
        <w:fldChar w:fldCharType="end"/>
      </w:r>
      <w:r w:rsidRPr="008268EB">
        <w:rPr>
          <w:rFonts w:ascii="Segoe UI" w:hAnsi="Segoe UI" w:cs="Segoe UI"/>
        </w:rPr>
        <w:t xml:space="preserve">); however, there have been no official updates to this data since then. Furthermore, Victoria has experienced a number of severe fires since 2007, which have had significant impact on many or most of the area figures presented in </w:t>
      </w:r>
      <w:r w:rsidRPr="008268EB">
        <w:rPr>
          <w:rFonts w:ascii="Segoe UI" w:hAnsi="Segoe UI" w:cs="Segoe UI"/>
        </w:rPr>
        <w:fldChar w:fldCharType="begin"/>
      </w:r>
      <w:r w:rsidRPr="008268EB">
        <w:rPr>
          <w:rFonts w:ascii="Segoe UI" w:hAnsi="Segoe UI" w:cs="Segoe UI"/>
        </w:rPr>
        <w:instrText xml:space="preserve"> REF _Ref13667451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4</w:t>
      </w:r>
      <w:r w:rsidRPr="008268EB">
        <w:rPr>
          <w:rFonts w:ascii="Segoe UI" w:hAnsi="Segoe UI" w:cs="Segoe UI"/>
        </w:rPr>
        <w:fldChar w:fldCharType="end"/>
      </w:r>
      <w:r w:rsidRPr="008268EB">
        <w:rPr>
          <w:rFonts w:ascii="Segoe UI" w:hAnsi="Segoe UI" w:cs="Segoe UI"/>
        </w:rPr>
        <w:t xml:space="preserve">. The SFRI dataset informs the derivation of many other datasets and still plays a valuable role in the state’s forest policy and planning processes. </w:t>
      </w:r>
    </w:p>
    <w:p w:rsidR="008268EB" w:rsidRPr="008268EB" w:rsidRDefault="008268EB" w:rsidP="008268EB">
      <w:pPr>
        <w:spacing w:after="200" w:line="240" w:lineRule="auto"/>
        <w:rPr>
          <w:rFonts w:ascii="Segoe UI Semibold" w:eastAsia="Times New Roman" w:hAnsi="Segoe UI Semibold" w:cs="Times New Roman"/>
          <w:color w:val="016295"/>
        </w:rPr>
      </w:pPr>
      <w:bookmarkStart w:id="11" w:name="_Ref13667451"/>
      <w:bookmarkStart w:id="12" w:name="_Toc25660788"/>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4</w:t>
      </w:r>
      <w:r w:rsidRPr="008268EB">
        <w:rPr>
          <w:rFonts w:ascii="Segoe UI Semibold" w:eastAsia="Times New Roman" w:hAnsi="Segoe UI Semibold" w:cs="Times New Roman"/>
          <w:noProof/>
          <w:color w:val="016295"/>
        </w:rPr>
        <w:fldChar w:fldCharType="end"/>
      </w:r>
      <w:bookmarkEnd w:id="11"/>
      <w:r w:rsidRPr="008268EB">
        <w:rPr>
          <w:rFonts w:ascii="Segoe UI Semibold" w:eastAsia="Times New Roman" w:hAnsi="Segoe UI Semibold" w:cs="Times New Roman"/>
          <w:color w:val="016295"/>
        </w:rPr>
        <w:t>: Growth-stage information from SFRI 2007</w:t>
      </w:r>
      <w:bookmarkEnd w:id="12"/>
    </w:p>
    <w:tbl>
      <w:tblPr>
        <w:tblW w:w="5501" w:type="dxa"/>
        <w:tblLayout w:type="fixed"/>
        <w:tblLook w:val="04A0" w:firstRow="1" w:lastRow="0" w:firstColumn="1" w:lastColumn="0" w:noHBand="0" w:noVBand="1"/>
      </w:tblPr>
      <w:tblGrid>
        <w:gridCol w:w="2298"/>
        <w:gridCol w:w="2238"/>
        <w:gridCol w:w="946"/>
        <w:gridCol w:w="9"/>
        <w:gridCol w:w="10"/>
      </w:tblGrid>
      <w:tr w:rsidR="008268EB" w:rsidRPr="008268EB" w:rsidTr="007F17A0">
        <w:trPr>
          <w:gridAfter w:val="2"/>
          <w:wAfter w:w="19" w:type="dxa"/>
          <w:trHeight w:val="340"/>
          <w:tblHeader/>
        </w:trPr>
        <w:tc>
          <w:tcPr>
            <w:tcW w:w="2298" w:type="dxa"/>
            <w:tcBorders>
              <w:bottom w:val="single" w:sz="8" w:space="0" w:color="auto"/>
            </w:tcBorders>
            <w:shd w:val="clear" w:color="auto" w:fill="E2EFD9" w:themeFill="accent6" w:themeFillTint="33"/>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RFA</w:t>
            </w:r>
          </w:p>
        </w:tc>
        <w:tc>
          <w:tcPr>
            <w:tcW w:w="2238" w:type="dxa"/>
            <w:tcBorders>
              <w:bottom w:val="single" w:sz="8" w:space="0" w:color="auto"/>
            </w:tcBorders>
            <w:shd w:val="clear" w:color="auto" w:fill="E2EFD9" w:themeFill="accent6" w:themeFillTint="33"/>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Growth stage</w:t>
            </w:r>
          </w:p>
          <w:p w:rsidR="008268EB" w:rsidRPr="008268EB" w:rsidRDefault="008268EB" w:rsidP="008268EB">
            <w:pPr>
              <w:spacing w:before="20" w:after="0" w:line="240" w:lineRule="auto"/>
              <w:rPr>
                <w:rFonts w:ascii="Segoe UI" w:eastAsia="Calibri" w:hAnsi="Segoe UI" w:cs="Calibri"/>
                <w:sz w:val="19"/>
                <w:szCs w:val="19"/>
                <w:lang w:eastAsia="en-AU"/>
              </w:rPr>
            </w:pPr>
          </w:p>
        </w:tc>
        <w:tc>
          <w:tcPr>
            <w:tcW w:w="946" w:type="dxa"/>
            <w:tcBorders>
              <w:bottom w:val="single" w:sz="8" w:space="0" w:color="auto"/>
            </w:tcBorders>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Area</w:t>
            </w:r>
          </w:p>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r>
      <w:tr w:rsidR="008268EB" w:rsidRPr="008268EB" w:rsidTr="007F17A0">
        <w:trPr>
          <w:gridAfter w:val="2"/>
          <w:wAfter w:w="19" w:type="dxa"/>
          <w:trHeight w:val="340"/>
        </w:trPr>
        <w:tc>
          <w:tcPr>
            <w:tcW w:w="229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CENTRAL HIGHLANDS</w:t>
            </w:r>
          </w:p>
        </w:tc>
        <w:tc>
          <w:tcPr>
            <w:tcW w:w="223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Early Mature</w:t>
            </w:r>
          </w:p>
        </w:tc>
        <w:tc>
          <w:tcPr>
            <w:tcW w:w="946"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28,000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Late Mature</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18,000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Mature</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167,000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Non-regrowth &lt; 22 m</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4,000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Non-regrowth &lt; 28 m</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24,000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Regenerating</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34,000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Regrowth</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66,000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Senescent</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5,000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Undefined</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16,000 </w:t>
            </w:r>
          </w:p>
        </w:tc>
      </w:tr>
      <w:tr w:rsidR="008268EB" w:rsidRPr="008268EB" w:rsidTr="007F17A0">
        <w:trPr>
          <w:gridAfter w:val="2"/>
          <w:wAfter w:w="19" w:type="dxa"/>
          <w:trHeight w:val="340"/>
        </w:trPr>
        <w:tc>
          <w:tcPr>
            <w:tcW w:w="229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Uneven aged</w:t>
            </w:r>
          </w:p>
        </w:tc>
        <w:tc>
          <w:tcPr>
            <w:tcW w:w="946"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52,000 </w:t>
            </w:r>
          </w:p>
        </w:tc>
      </w:tr>
      <w:tr w:rsidR="008268EB" w:rsidRPr="008268EB" w:rsidTr="007F17A0">
        <w:trPr>
          <w:gridAfter w:val="2"/>
          <w:wAfter w:w="19" w:type="dxa"/>
          <w:trHeight w:val="340"/>
        </w:trPr>
        <w:tc>
          <w:tcPr>
            <w:tcW w:w="229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223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Early Mature</w:t>
            </w:r>
          </w:p>
        </w:tc>
        <w:tc>
          <w:tcPr>
            <w:tcW w:w="946"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6,000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Late Mature</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72,000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Mature</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282,000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Regenerating</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49,000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Regrowth</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48,000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Senescent</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8,000 </w:t>
            </w:r>
          </w:p>
        </w:tc>
      </w:tr>
      <w:tr w:rsidR="008268EB" w:rsidRPr="008268EB" w:rsidTr="007F17A0">
        <w:trPr>
          <w:gridAfter w:val="2"/>
          <w:wAfter w:w="19" w:type="dxa"/>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Undefined</w:t>
            </w:r>
          </w:p>
        </w:tc>
        <w:tc>
          <w:tcPr>
            <w:tcW w:w="946"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20,000 </w:t>
            </w:r>
          </w:p>
        </w:tc>
      </w:tr>
      <w:tr w:rsidR="008268EB" w:rsidRPr="008268EB" w:rsidTr="007F17A0">
        <w:trPr>
          <w:trHeight w:val="340"/>
        </w:trPr>
        <w:tc>
          <w:tcPr>
            <w:tcW w:w="229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Uneven aged</w:t>
            </w:r>
          </w:p>
        </w:tc>
        <w:tc>
          <w:tcPr>
            <w:tcW w:w="965" w:type="dxa"/>
            <w:gridSpan w:val="3"/>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167,000 </w:t>
            </w:r>
          </w:p>
        </w:tc>
      </w:tr>
      <w:tr w:rsidR="008268EB" w:rsidRPr="008268EB" w:rsidTr="007F17A0">
        <w:trPr>
          <w:trHeight w:val="340"/>
        </w:trPr>
        <w:tc>
          <w:tcPr>
            <w:tcW w:w="229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223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Early Mature</w:t>
            </w:r>
          </w:p>
        </w:tc>
        <w:tc>
          <w:tcPr>
            <w:tcW w:w="965" w:type="dxa"/>
            <w:gridSpan w:val="3"/>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9,000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Late Mature</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232,000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Mature</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709,000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Non-regrowth &lt; 28 m</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Regenerating</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56,000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Regrowth</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37,000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Senescent</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28,000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Undefined</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60,000 </w:t>
            </w:r>
          </w:p>
        </w:tc>
      </w:tr>
      <w:tr w:rsidR="008268EB" w:rsidRPr="008268EB" w:rsidTr="007F17A0">
        <w:trPr>
          <w:trHeight w:val="340"/>
        </w:trPr>
        <w:tc>
          <w:tcPr>
            <w:tcW w:w="229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Uneven aged</w:t>
            </w:r>
          </w:p>
        </w:tc>
        <w:tc>
          <w:tcPr>
            <w:tcW w:w="965" w:type="dxa"/>
            <w:gridSpan w:val="3"/>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216,000 </w:t>
            </w:r>
          </w:p>
        </w:tc>
      </w:tr>
      <w:tr w:rsidR="008268EB" w:rsidRPr="008268EB" w:rsidTr="007F17A0">
        <w:trPr>
          <w:trHeight w:val="340"/>
        </w:trPr>
        <w:tc>
          <w:tcPr>
            <w:tcW w:w="229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223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Early Mature</w:t>
            </w:r>
          </w:p>
        </w:tc>
        <w:tc>
          <w:tcPr>
            <w:tcW w:w="965" w:type="dxa"/>
            <w:gridSpan w:val="3"/>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16,000 </w:t>
            </w:r>
          </w:p>
        </w:tc>
      </w:tr>
      <w:tr w:rsidR="008268EB" w:rsidRPr="008268EB" w:rsidTr="007F17A0">
        <w:trPr>
          <w:trHeight w:val="340"/>
        </w:trPr>
        <w:tc>
          <w:tcPr>
            <w:tcW w:w="229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Late Mature</w:t>
            </w:r>
          </w:p>
        </w:tc>
        <w:tc>
          <w:tcPr>
            <w:tcW w:w="965" w:type="dxa"/>
            <w:gridSpan w:val="3"/>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126,000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Mature</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873,000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Non-regrowth &lt; 28 m</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5,000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Regenerating</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48,000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Regrowth</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27,000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Senescent</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17,000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Undefined</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80,000 </w:t>
            </w:r>
          </w:p>
        </w:tc>
      </w:tr>
      <w:tr w:rsidR="008268EB" w:rsidRPr="008268EB" w:rsidTr="007F17A0">
        <w:trPr>
          <w:gridAfter w:val="1"/>
          <w:wAfter w:w="10" w:type="dxa"/>
          <w:trHeight w:val="340"/>
        </w:trPr>
        <w:tc>
          <w:tcPr>
            <w:tcW w:w="0"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Uneven aged</w:t>
            </w:r>
          </w:p>
        </w:tc>
        <w:tc>
          <w:tcPr>
            <w:tcW w:w="955" w:type="dxa"/>
            <w:gridSpan w:val="2"/>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139,000 </w:t>
            </w:r>
          </w:p>
        </w:tc>
      </w:tr>
      <w:tr w:rsidR="008268EB" w:rsidRPr="008268EB" w:rsidTr="007F17A0">
        <w:trPr>
          <w:gridAfter w:val="1"/>
          <w:wAfter w:w="10" w:type="dxa"/>
          <w:trHeight w:val="340"/>
        </w:trPr>
        <w:tc>
          <w:tcPr>
            <w:tcW w:w="0"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WEST</w:t>
            </w:r>
          </w:p>
        </w:tc>
        <w:tc>
          <w:tcPr>
            <w:tcW w:w="223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Late Mature</w:t>
            </w:r>
          </w:p>
        </w:tc>
        <w:tc>
          <w:tcPr>
            <w:tcW w:w="955" w:type="dxa"/>
            <w:gridSpan w:val="2"/>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13,000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Mature</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76,000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Regenerating</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Regrowth</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5,000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Senescent</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2,000 </w:t>
            </w:r>
          </w:p>
        </w:tc>
      </w:tr>
      <w:tr w:rsidR="008268EB" w:rsidRPr="008268EB" w:rsidTr="007F17A0">
        <w:trPr>
          <w:gridAfter w:val="1"/>
          <w:wAfter w:w="10" w:type="dxa"/>
          <w:trHeight w:val="340"/>
        </w:trPr>
        <w:tc>
          <w:tcPr>
            <w:tcW w:w="0"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Undefined</w:t>
            </w:r>
          </w:p>
        </w:tc>
        <w:tc>
          <w:tcPr>
            <w:tcW w:w="955" w:type="dxa"/>
            <w:gridSpan w:val="2"/>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13,000 </w:t>
            </w:r>
          </w:p>
        </w:tc>
      </w:tr>
      <w:tr w:rsidR="008268EB" w:rsidRPr="008268EB" w:rsidTr="007F17A0">
        <w:trPr>
          <w:gridAfter w:val="1"/>
          <w:wAfter w:w="10" w:type="dxa"/>
          <w:trHeight w:val="340"/>
        </w:trPr>
        <w:tc>
          <w:tcPr>
            <w:tcW w:w="0"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23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Uneven aged</w:t>
            </w:r>
          </w:p>
        </w:tc>
        <w:tc>
          <w:tcPr>
            <w:tcW w:w="955" w:type="dxa"/>
            <w:gridSpan w:val="2"/>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 xml:space="preserve">19,000 </w:t>
            </w:r>
          </w:p>
        </w:tc>
      </w:tr>
    </w:tbl>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DELWP SFRI dataset 2007</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Old-growth assessment</w:t>
      </w:r>
    </w:p>
    <w:p w:rsidR="008268EB" w:rsidRPr="008268EB" w:rsidRDefault="008268EB" w:rsidP="008268EB">
      <w:pPr>
        <w:jc w:val="both"/>
        <w:rPr>
          <w:rFonts w:ascii="Segoe UI" w:hAnsi="Segoe UI" w:cs="Segoe UI"/>
        </w:rPr>
      </w:pPr>
      <w:r w:rsidRPr="008268EB">
        <w:rPr>
          <w:rFonts w:ascii="Segoe UI" w:hAnsi="Segoe UI" w:cs="Segoe UI"/>
        </w:rPr>
        <w:t xml:space="preserve">The CRA, undertaken between 1996 and 1999, involved detailed assessments of old-growth forests across the RFA regions, using growth stage, disturbance and species as the primary assessment metrics (Woodgate et al. 1994). Along with other environmental values, </w:t>
      </w:r>
      <w:r w:rsidRPr="008268EB" w:rsidDel="00021C82">
        <w:rPr>
          <w:rFonts w:ascii="Segoe UI" w:hAnsi="Segoe UI" w:cs="Segoe UI"/>
        </w:rPr>
        <w:t>old</w:t>
      </w:r>
      <w:r w:rsidRPr="008268EB">
        <w:rPr>
          <w:rFonts w:ascii="Segoe UI" w:hAnsi="Segoe UI" w:cs="Segoe UI"/>
        </w:rPr>
        <w:t>-growth forests were one of the criteria for designing the CAR reserve system under the Victorian RFAs.</w:t>
      </w:r>
    </w:p>
    <w:p w:rsidR="008268EB" w:rsidRPr="008268EB" w:rsidRDefault="008268EB" w:rsidP="008268EB">
      <w:pPr>
        <w:jc w:val="both"/>
        <w:rPr>
          <w:rFonts w:ascii="Segoe UI" w:hAnsi="Segoe UI" w:cs="Segoe UI"/>
        </w:rPr>
      </w:pPr>
      <w:r w:rsidRPr="008268EB">
        <w:rPr>
          <w:rFonts w:ascii="Segoe UI" w:hAnsi="Segoe UI" w:cs="Segoe UI"/>
        </w:rPr>
        <w:t xml:space="preserve">At the commencement of the RFAs, an old-growth spatial data layer (OG100) was created according to the Woodgate et al. (1994) definition. This dataset was created between 1999 and 2003 as part of the SFRI process and mapped for all forested public land in Victoria. </w:t>
      </w:r>
    </w:p>
    <w:p w:rsidR="008268EB" w:rsidRPr="008268EB" w:rsidRDefault="008268EB" w:rsidP="008268EB">
      <w:pPr>
        <w:jc w:val="both"/>
        <w:rPr>
          <w:rFonts w:ascii="Segoe UI" w:hAnsi="Segoe UI" w:cs="Segoe UI"/>
        </w:rPr>
      </w:pPr>
      <w:r w:rsidRPr="008268EB">
        <w:rPr>
          <w:rFonts w:ascii="Segoe UI" w:hAnsi="Segoe UI" w:cs="Segoe UI"/>
        </w:rPr>
        <w:t xml:space="preserve">More recently, modelled old growth (MOG) was produced in 2018 using ecological vegetation class (EVC) and disturbance history (harvesting and fire). This dataset is not reliable at scales less than 1:100,000 and limited field verification has been undertaken. Moreover, the modelling process used to create MOG is a subtractive process only and does not inform recruitment of new old-growth areas. </w:t>
      </w:r>
      <w:bookmarkStart w:id="13" w:name="_Ref14083030"/>
      <w:bookmarkStart w:id="14" w:name="_Ref15018117"/>
    </w:p>
    <w:p w:rsidR="008268EB" w:rsidRPr="008268EB" w:rsidRDefault="008268EB" w:rsidP="008268EB">
      <w:pPr>
        <w:jc w:val="both"/>
        <w:rPr>
          <w:rFonts w:ascii="Segoe UI" w:hAnsi="Segoe UI" w:cs="Segoe UI"/>
        </w:rPr>
      </w:pPr>
      <w:r w:rsidRPr="008268EB">
        <w:rPr>
          <w:rFonts w:ascii="Segoe UI" w:hAnsi="Segoe UI" w:cs="Segoe UI"/>
        </w:rPr>
        <w:t>The major bushfires in 2003, 2007, 2009 and 2018 caused a significant reduction in the extent of old-growth forest in Victoria. When the MOG layer was produced for 2009, the overall old-growth extent had almost halved. By comparison, harvesting accounts for less than 1 per cent of the removal of old-growth forest since 2003.</w:t>
      </w:r>
    </w:p>
    <w:bookmarkEnd w:id="13"/>
    <w:bookmarkEnd w:id="14"/>
    <w:p w:rsidR="008268EB" w:rsidRPr="008268EB" w:rsidRDefault="008268EB" w:rsidP="008268EB">
      <w:pPr>
        <w:jc w:val="both"/>
        <w:rPr>
          <w:rFonts w:ascii="Segoe UI" w:hAnsi="Segoe UI" w:cs="Segoe UI"/>
        </w:rPr>
      </w:pPr>
      <w:r w:rsidRPr="008268EB">
        <w:rPr>
          <w:rFonts w:ascii="Segoe UI" w:hAnsi="Segoe UI" w:cs="Segoe UI"/>
        </w:rPr>
        <w:t>The most recent update to the MOG was produced for this report and represents a baseline year of 2018.  The MOG</w:t>
      </w:r>
      <w:r w:rsidRPr="008268EB">
        <w:rPr>
          <w:rFonts w:ascii="Segoe UI" w:hAnsi="Segoe UI" w:cs="Segoe UI"/>
          <w:vertAlign w:val="superscript"/>
        </w:rPr>
        <w:footnoteReference w:id="1"/>
      </w:r>
      <w:r w:rsidRPr="008268EB">
        <w:rPr>
          <w:rFonts w:ascii="Segoe UI" w:hAnsi="Segoe UI" w:cs="Segoe UI"/>
        </w:rPr>
        <w:t xml:space="preserve"> spatial layer is based on the MOG2009, with reduced extent based on disturbances from fire and timber harvesting up to July 2018. The trajectory of change between these datasets is illustrated in </w:t>
      </w:r>
      <w:r w:rsidRPr="008268EB">
        <w:rPr>
          <w:rFonts w:ascii="Segoe UI" w:hAnsi="Segoe UI" w:cs="Segoe UI"/>
        </w:rPr>
        <w:fldChar w:fldCharType="begin"/>
      </w:r>
      <w:r w:rsidRPr="008268EB">
        <w:rPr>
          <w:rFonts w:ascii="Segoe UI" w:hAnsi="Segoe UI" w:cs="Segoe UI"/>
        </w:rPr>
        <w:instrText xml:space="preserve"> REF _Ref26523461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Figure </w:t>
      </w:r>
      <w:r w:rsidRPr="008268EB">
        <w:rPr>
          <w:rFonts w:ascii="Segoe UI" w:hAnsi="Segoe UI" w:cs="Segoe UI"/>
          <w:noProof/>
        </w:rPr>
        <w:t>1</w:t>
      </w:r>
      <w:r w:rsidRPr="008268EB">
        <w:rPr>
          <w:rFonts w:ascii="Segoe UI" w:hAnsi="Segoe UI" w:cs="Segoe UI"/>
        </w:rPr>
        <w:fldChar w:fldCharType="end"/>
      </w:r>
      <w:r w:rsidRPr="008268EB">
        <w:rPr>
          <w:rFonts w:ascii="Segoe UI" w:hAnsi="Segoe UI" w:cs="Segoe UI"/>
        </w:rPr>
        <w:t>.</w:t>
      </w:r>
      <w:r w:rsidRPr="008268EB" w:rsidDel="0001727D">
        <w:rPr>
          <w:rFonts w:ascii="Segoe UI" w:hAnsi="Segoe UI" w:cs="Segoe UI"/>
        </w:rPr>
        <w:t xml:space="preserve"> </w:t>
      </w:r>
    </w:p>
    <w:p w:rsidR="008268EB" w:rsidRPr="008268EB" w:rsidRDefault="008268EB" w:rsidP="008268EB">
      <w:pPr>
        <w:jc w:val="both"/>
        <w:rPr>
          <w:rFonts w:ascii="Segoe UI" w:hAnsi="Segoe UI" w:cs="Segoe UI"/>
        </w:rPr>
      </w:pPr>
    </w:p>
    <w:p w:rsidR="008268EB" w:rsidRPr="008268EB" w:rsidRDefault="008268EB" w:rsidP="008268EB">
      <w:pPr>
        <w:keepNext/>
        <w:rPr>
          <w:rFonts w:ascii="Segoe UI" w:hAnsi="Segoe UI" w:cs="Segoe UI"/>
        </w:rPr>
      </w:pPr>
      <w:r w:rsidRPr="008268EB">
        <w:rPr>
          <w:rFonts w:ascii="Segoe UI" w:hAnsi="Segoe UI" w:cs="Segoe UI"/>
          <w:noProof/>
        </w:rPr>
        <w:drawing>
          <wp:inline distT="0" distB="0" distL="0" distR="0" wp14:anchorId="0007296D" wp14:editId="2DCCE828">
            <wp:extent cx="4781550" cy="2743200"/>
            <wp:effectExtent l="0" t="0" r="0" b="0"/>
            <wp:docPr id="22" name="Chart 22">
              <a:extLst xmlns:a="http://schemas.openxmlformats.org/drawingml/2006/main">
                <a:ext uri="{FF2B5EF4-FFF2-40B4-BE49-F238E27FC236}">
                  <a16:creationId xmlns:a16="http://schemas.microsoft.com/office/drawing/2014/main" id="{E6399B25-F12F-4F4C-9893-6E3E6BF85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68EB" w:rsidRPr="008268EB" w:rsidRDefault="008268EB" w:rsidP="008268EB">
      <w:pPr>
        <w:spacing w:after="200" w:line="240" w:lineRule="auto"/>
        <w:rPr>
          <w:rFonts w:ascii="Segoe UI Semibold" w:eastAsia="Times New Roman" w:hAnsi="Segoe UI Semibold" w:cs="Times New Roman"/>
          <w:color w:val="016295"/>
        </w:rPr>
      </w:pPr>
      <w:bookmarkStart w:id="15" w:name="_Ref26523461"/>
      <w:bookmarkStart w:id="16" w:name="_Ref14678835"/>
      <w:r w:rsidRPr="008268EB">
        <w:rPr>
          <w:rFonts w:ascii="Segoe UI Semibold" w:eastAsia="Times New Roman" w:hAnsi="Segoe UI Semibold" w:cs="Times New Roman"/>
          <w:color w:val="016295"/>
        </w:rPr>
        <w:t xml:space="preserve">Figure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Figure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w:t>
      </w:r>
      <w:r w:rsidRPr="008268EB">
        <w:rPr>
          <w:rFonts w:ascii="Segoe UI Semibold" w:eastAsia="Times New Roman" w:hAnsi="Segoe UI Semibold" w:cs="Times New Roman"/>
          <w:noProof/>
          <w:color w:val="016295"/>
        </w:rPr>
        <w:fldChar w:fldCharType="end"/>
      </w:r>
      <w:bookmarkEnd w:id="15"/>
      <w:bookmarkEnd w:id="16"/>
      <w:r w:rsidRPr="008268EB">
        <w:rPr>
          <w:rFonts w:ascii="Segoe UI Semibold" w:eastAsia="Times New Roman" w:hAnsi="Segoe UI Semibold" w:cs="Times New Roman"/>
          <w:color w:val="016295"/>
        </w:rPr>
        <w:t>: Old-growth areas per RFA across time</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Area change in old-growth assessment</w:t>
      </w:r>
    </w:p>
    <w:p w:rsidR="008268EB" w:rsidRPr="008268EB" w:rsidRDefault="008268EB" w:rsidP="008268EB">
      <w:pPr>
        <w:jc w:val="both"/>
        <w:rPr>
          <w:rFonts w:ascii="Segoe UI" w:hAnsi="Segoe UI" w:cs="Segoe UI"/>
        </w:rPr>
      </w:pPr>
      <w:r w:rsidRPr="008268EB">
        <w:rPr>
          <w:rFonts w:ascii="Segoe UI" w:hAnsi="Segoe UI" w:cs="Segoe UI"/>
        </w:rPr>
        <w:t xml:space="preserve">Of the 840,000 hectares of old-growth forest identified as part of the CRA process in the Victorian RFA regions, a total of 401,000 hectares (35 per cent) was protected under formal reservation, and 143,000 hectares (17 per cent) in the informal reserve. </w:t>
      </w:r>
    </w:p>
    <w:p w:rsidR="008268EB" w:rsidRPr="008268EB" w:rsidRDefault="008268EB" w:rsidP="008268EB">
      <w:pPr>
        <w:jc w:val="both"/>
        <w:rPr>
          <w:rFonts w:ascii="Segoe UI" w:hAnsi="Segoe UI" w:cs="Segoe UI"/>
        </w:rPr>
      </w:pPr>
      <w:r w:rsidRPr="008268EB">
        <w:rPr>
          <w:rFonts w:ascii="Segoe UI" w:hAnsi="Segoe UI" w:cs="Segoe UI"/>
        </w:rPr>
        <w:t xml:space="preserve">After the five RFAs came into effect, an additional 10,000 hectares of old growth was identified through the 2003 mapping, with 48 per cent protected in formal reserves and 27 per cent protected informally (Special Protection Zone (SPZ) and code exclusions). In 2018, 49 per cent of old-growth forest was protected in formal reserves and 26 per cent is protected informally, based on the 2018 modelled extent of old growth (see </w:t>
      </w:r>
      <w:r w:rsidRPr="008268EB">
        <w:rPr>
          <w:rFonts w:ascii="Segoe UI" w:hAnsi="Segoe UI" w:cs="Segoe UI"/>
        </w:rPr>
        <w:fldChar w:fldCharType="begin"/>
      </w:r>
      <w:r w:rsidRPr="008268EB">
        <w:rPr>
          <w:rFonts w:ascii="Segoe UI" w:hAnsi="Segoe UI" w:cs="Segoe UI"/>
        </w:rPr>
        <w:instrText xml:space="preserve"> REF _Ref15489582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Table 5</w:t>
      </w:r>
      <w:r w:rsidRPr="008268EB">
        <w:rPr>
          <w:rFonts w:ascii="Segoe UI" w:hAnsi="Segoe UI" w:cs="Segoe UI"/>
        </w:rPr>
        <w:fldChar w:fldCharType="end"/>
      </w:r>
      <w:r w:rsidRPr="008268EB">
        <w:rPr>
          <w:rFonts w:ascii="Segoe UI" w:hAnsi="Segoe UI" w:cs="Segoe UI"/>
        </w:rPr>
        <w:t>).</w:t>
      </w: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17" w:name="_Ref15489582"/>
      <w:bookmarkStart w:id="18" w:name="_Toc25660789"/>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5</w:t>
      </w:r>
      <w:r w:rsidRPr="008268EB">
        <w:rPr>
          <w:rFonts w:ascii="Segoe UI Semibold" w:eastAsia="Times New Roman" w:hAnsi="Segoe UI Semibold" w:cs="Times New Roman"/>
          <w:noProof/>
          <w:color w:val="016295"/>
        </w:rPr>
        <w:fldChar w:fldCharType="end"/>
      </w:r>
      <w:bookmarkEnd w:id="17"/>
      <w:r w:rsidRPr="008268EB">
        <w:rPr>
          <w:rFonts w:ascii="Segoe UI Semibold" w:eastAsia="Times New Roman" w:hAnsi="Segoe UI Semibold" w:cs="Times New Roman"/>
          <w:color w:val="016295"/>
        </w:rPr>
        <w:t>: Area and protected status of old growth, 2003–2018</w:t>
      </w:r>
      <w:bookmarkEnd w:id="18"/>
      <w:r w:rsidRPr="008268EB">
        <w:rPr>
          <w:rFonts w:ascii="Segoe UI Semibold" w:eastAsia="Times New Roman" w:hAnsi="Segoe UI Semibold" w:cs="Times New Roman"/>
          <w:color w:val="016295"/>
        </w:rPr>
        <w:t xml:space="preserve"> </w:t>
      </w:r>
    </w:p>
    <w:tbl>
      <w:tblPr>
        <w:tblW w:w="9090" w:type="dxa"/>
        <w:tblLayout w:type="fixed"/>
        <w:tblLook w:val="04A0" w:firstRow="1" w:lastRow="0" w:firstColumn="1" w:lastColumn="0" w:noHBand="0" w:noVBand="1"/>
      </w:tblPr>
      <w:tblGrid>
        <w:gridCol w:w="1899"/>
        <w:gridCol w:w="1198"/>
        <w:gridCol w:w="1199"/>
        <w:gridCol w:w="1198"/>
        <w:gridCol w:w="1199"/>
        <w:gridCol w:w="1198"/>
        <w:gridCol w:w="1199"/>
      </w:tblGrid>
      <w:tr w:rsidR="008268EB" w:rsidRPr="008268EB" w:rsidTr="007F17A0">
        <w:trPr>
          <w:trHeight w:val="369"/>
        </w:trPr>
        <w:tc>
          <w:tcPr>
            <w:tcW w:w="1899" w:type="dxa"/>
            <w:shd w:val="clear" w:color="auto" w:fill="E2EFD9" w:themeFill="accent6" w:themeFillTint="33"/>
            <w:noWrap/>
            <w:vAlign w:val="bottom"/>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RFA region </w:t>
            </w:r>
          </w:p>
          <w:p w:rsidR="008268EB" w:rsidRPr="008268EB" w:rsidRDefault="008268EB" w:rsidP="008268EB">
            <w:pPr>
              <w:spacing w:after="0"/>
              <w:rPr>
                <w:rFonts w:ascii="Segoe UI" w:hAnsi="Segoe UI" w:cs="Segoe UI"/>
                <w:b/>
                <w:bCs/>
                <w:sz w:val="19"/>
                <w:szCs w:val="19"/>
              </w:rPr>
            </w:pPr>
          </w:p>
        </w:tc>
        <w:tc>
          <w:tcPr>
            <w:tcW w:w="1198" w:type="dxa"/>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Not protected</w:t>
            </w:r>
          </w:p>
        </w:tc>
        <w:tc>
          <w:tcPr>
            <w:tcW w:w="1199" w:type="dxa"/>
            <w:shd w:val="clear" w:color="auto" w:fill="E2EFD9" w:themeFill="accent6" w:themeFillTint="33"/>
            <w:noWrap/>
            <w:vAlign w:val="bottom"/>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Informal</w:t>
            </w:r>
          </w:p>
        </w:tc>
        <w:tc>
          <w:tcPr>
            <w:tcW w:w="1198" w:type="dxa"/>
            <w:shd w:val="clear" w:color="auto" w:fill="E2EFD9" w:themeFill="accent6" w:themeFillTint="33"/>
            <w:noWrap/>
            <w:vAlign w:val="bottom"/>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Formal</w:t>
            </w:r>
          </w:p>
        </w:tc>
        <w:tc>
          <w:tcPr>
            <w:tcW w:w="1199" w:type="dxa"/>
            <w:shd w:val="clear" w:color="auto" w:fill="E2EFD9" w:themeFill="accent6" w:themeFillTint="33"/>
            <w:noWrap/>
            <w:vAlign w:val="bottom"/>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Total old growth</w:t>
            </w:r>
          </w:p>
        </w:tc>
        <w:tc>
          <w:tcPr>
            <w:tcW w:w="1198" w:type="dxa"/>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Total protected</w:t>
            </w:r>
          </w:p>
        </w:tc>
        <w:tc>
          <w:tcPr>
            <w:tcW w:w="1199" w:type="dxa"/>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 per cent protected</w:t>
            </w:r>
          </w:p>
          <w:p w:rsidR="008268EB" w:rsidRPr="008268EB" w:rsidRDefault="008268EB" w:rsidP="008268EB">
            <w:pPr>
              <w:spacing w:after="0" w:line="240" w:lineRule="auto"/>
              <w:jc w:val="center"/>
              <w:rPr>
                <w:rFonts w:ascii="Segoe UI" w:eastAsia="Calibri" w:hAnsi="Segoe UI" w:cs="Calibri"/>
                <w:sz w:val="19"/>
                <w:szCs w:val="19"/>
                <w:lang w:eastAsia="en-AU"/>
              </w:rPr>
            </w:pPr>
          </w:p>
        </w:tc>
      </w:tr>
      <w:tr w:rsidR="008268EB" w:rsidRPr="008268EB" w:rsidTr="007F17A0">
        <w:trPr>
          <w:trHeight w:val="369"/>
        </w:trPr>
        <w:tc>
          <w:tcPr>
            <w:tcW w:w="1899"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p>
        </w:tc>
        <w:tc>
          <w:tcPr>
            <w:tcW w:w="1198"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199"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198"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199"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198"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199" w:type="dxa"/>
            <w:tcBorders>
              <w:bottom w:val="single" w:sz="8" w:space="0" w:color="auto"/>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p>
        </w:tc>
      </w:tr>
      <w:tr w:rsidR="008268EB" w:rsidRPr="008268EB" w:rsidTr="007F17A0">
        <w:trPr>
          <w:trHeight w:val="369"/>
        </w:trPr>
        <w:tc>
          <w:tcPr>
            <w:tcW w:w="9090" w:type="dxa"/>
            <w:gridSpan w:val="7"/>
            <w:tcBorders>
              <w:top w:val="single" w:sz="8" w:space="0" w:color="auto"/>
              <w:bottom w:val="single" w:sz="8" w:space="0" w:color="auto"/>
            </w:tcBorders>
            <w:shd w:val="clear" w:color="auto" w:fill="D9D9D9" w:themeFill="background1" w:themeFillShade="D9"/>
            <w:noWrap/>
            <w:vAlign w:val="center"/>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2018</w:t>
            </w:r>
          </w:p>
        </w:tc>
      </w:tr>
      <w:tr w:rsidR="008268EB" w:rsidRPr="008268EB" w:rsidTr="007F17A0">
        <w:trPr>
          <w:trHeight w:val="369"/>
        </w:trPr>
        <w:tc>
          <w:tcPr>
            <w:tcW w:w="1899" w:type="dxa"/>
            <w:tcBorders>
              <w:top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Central Highlands</w:t>
            </w:r>
          </w:p>
        </w:tc>
        <w:tc>
          <w:tcPr>
            <w:tcW w:w="1198"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1,806</w:t>
            </w:r>
          </w:p>
        </w:tc>
        <w:tc>
          <w:tcPr>
            <w:tcW w:w="1199"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3,664</w:t>
            </w:r>
          </w:p>
        </w:tc>
        <w:tc>
          <w:tcPr>
            <w:tcW w:w="1198"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3,762</w:t>
            </w:r>
          </w:p>
        </w:tc>
        <w:tc>
          <w:tcPr>
            <w:tcW w:w="1199"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9,232</w:t>
            </w:r>
          </w:p>
        </w:tc>
        <w:tc>
          <w:tcPr>
            <w:tcW w:w="1198"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7,426</w:t>
            </w:r>
          </w:p>
        </w:tc>
        <w:tc>
          <w:tcPr>
            <w:tcW w:w="1199"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80%</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20,072</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15,822</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52,550</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88,444</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68,372</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77%</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19,492</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24,723</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28,932</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73,146</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53,655</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73%</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44,081</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34,915</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48,790</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127,786</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83,705</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66%</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West</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14,033</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27,734</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65,523</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107,290</w:t>
            </w:r>
          </w:p>
        </w:tc>
        <w:tc>
          <w:tcPr>
            <w:tcW w:w="119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93,257</w:t>
            </w:r>
          </w:p>
        </w:tc>
        <w:tc>
          <w:tcPr>
            <w:tcW w:w="1199"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87%</w:t>
            </w:r>
          </w:p>
        </w:tc>
      </w:tr>
      <w:tr w:rsidR="008268EB" w:rsidRPr="008268EB" w:rsidTr="007F17A0">
        <w:trPr>
          <w:trHeight w:val="369"/>
        </w:trPr>
        <w:tc>
          <w:tcPr>
            <w:tcW w:w="1899" w:type="dxa"/>
            <w:tcBorders>
              <w:bottom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b/>
                <w:sz w:val="19"/>
                <w:szCs w:val="19"/>
                <w:lang w:eastAsia="en-AU"/>
              </w:rPr>
              <w:t>Total 2018</w:t>
            </w:r>
          </w:p>
        </w:tc>
        <w:tc>
          <w:tcPr>
            <w:tcW w:w="1198"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b/>
                <w:color w:val="000000"/>
                <w:sz w:val="19"/>
                <w:szCs w:val="19"/>
                <w:lang w:eastAsia="en-AU"/>
              </w:rPr>
              <w:t>99,485</w:t>
            </w:r>
          </w:p>
        </w:tc>
        <w:tc>
          <w:tcPr>
            <w:tcW w:w="1199"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b/>
                <w:color w:val="000000"/>
                <w:sz w:val="19"/>
                <w:szCs w:val="19"/>
                <w:lang w:eastAsia="en-AU"/>
              </w:rPr>
              <w:t>106,857</w:t>
            </w:r>
          </w:p>
        </w:tc>
        <w:tc>
          <w:tcPr>
            <w:tcW w:w="1198"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b/>
                <w:color w:val="000000"/>
                <w:sz w:val="19"/>
                <w:szCs w:val="19"/>
                <w:lang w:eastAsia="en-AU"/>
              </w:rPr>
              <w:t>199,557</w:t>
            </w:r>
          </w:p>
        </w:tc>
        <w:tc>
          <w:tcPr>
            <w:tcW w:w="1199"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b/>
                <w:color w:val="000000"/>
                <w:sz w:val="19"/>
                <w:szCs w:val="19"/>
                <w:lang w:eastAsia="en-AU"/>
              </w:rPr>
              <w:t>405,899</w:t>
            </w:r>
          </w:p>
        </w:tc>
        <w:tc>
          <w:tcPr>
            <w:tcW w:w="1198"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b/>
                <w:color w:val="000000"/>
                <w:sz w:val="19"/>
                <w:szCs w:val="19"/>
                <w:lang w:eastAsia="en-AU"/>
              </w:rPr>
              <w:t>306,414</w:t>
            </w:r>
          </w:p>
        </w:tc>
        <w:tc>
          <w:tcPr>
            <w:tcW w:w="1199"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b/>
                <w:color w:val="000000"/>
                <w:sz w:val="19"/>
                <w:szCs w:val="19"/>
                <w:lang w:eastAsia="en-AU"/>
              </w:rPr>
              <w:t>75%</w:t>
            </w:r>
          </w:p>
        </w:tc>
      </w:tr>
      <w:tr w:rsidR="008268EB" w:rsidRPr="008268EB" w:rsidTr="007F17A0">
        <w:trPr>
          <w:trHeight w:val="369"/>
        </w:trPr>
        <w:tc>
          <w:tcPr>
            <w:tcW w:w="9090" w:type="dxa"/>
            <w:gridSpan w:val="7"/>
            <w:tcBorders>
              <w:top w:val="single" w:sz="8" w:space="0" w:color="auto"/>
              <w:bottom w:val="single" w:sz="8" w:space="0" w:color="auto"/>
            </w:tcBorders>
            <w:shd w:val="clear" w:color="auto" w:fill="D9D9D9" w:themeFill="background1" w:themeFillShade="D9"/>
            <w:noWrap/>
            <w:vAlign w:val="center"/>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2008</w:t>
            </w:r>
          </w:p>
          <w:p w:rsidR="008268EB" w:rsidRPr="008268EB" w:rsidRDefault="008268EB" w:rsidP="008268EB">
            <w:pPr>
              <w:spacing w:after="0" w:line="240" w:lineRule="auto"/>
              <w:jc w:val="center"/>
              <w:rPr>
                <w:rFonts w:ascii="Segoe UI" w:eastAsia="Calibri" w:hAnsi="Segoe UI" w:cs="Calibri"/>
                <w:sz w:val="19"/>
                <w:szCs w:val="19"/>
                <w:lang w:eastAsia="en-AU"/>
              </w:rPr>
            </w:pPr>
          </w:p>
        </w:tc>
      </w:tr>
      <w:tr w:rsidR="008268EB" w:rsidRPr="008268EB" w:rsidTr="007F17A0">
        <w:trPr>
          <w:trHeight w:val="369"/>
        </w:trPr>
        <w:tc>
          <w:tcPr>
            <w:tcW w:w="1899" w:type="dxa"/>
            <w:tcBorders>
              <w:top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Central Highlands</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4,250</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4,613</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8,031</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16,894</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12,643</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75%</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26,984</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19,762</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42,005</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88,751</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61,766</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70%</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19,194</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25,086</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29,353</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73,632</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54,438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74%</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41,943</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34,629</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51,360</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127,931</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85,988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67%</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West</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13,515</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39,441</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77,813</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130,769</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117,254</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90%</w:t>
            </w:r>
          </w:p>
        </w:tc>
      </w:tr>
      <w:tr w:rsidR="008268EB" w:rsidRPr="008268EB" w:rsidTr="007F17A0">
        <w:trPr>
          <w:trHeight w:val="369"/>
        </w:trPr>
        <w:tc>
          <w:tcPr>
            <w:tcW w:w="1899" w:type="dxa"/>
            <w:tcBorders>
              <w:bottom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b/>
                <w:sz w:val="19"/>
                <w:szCs w:val="19"/>
                <w:lang w:eastAsia="en-AU"/>
              </w:rPr>
              <w:t>Total 2008</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105,886</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123,530</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208,562</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437,977</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332,091</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76%</w:t>
            </w:r>
          </w:p>
        </w:tc>
      </w:tr>
      <w:tr w:rsidR="008268EB" w:rsidRPr="008268EB" w:rsidTr="007F17A0">
        <w:trPr>
          <w:trHeight w:val="369"/>
        </w:trPr>
        <w:tc>
          <w:tcPr>
            <w:tcW w:w="9090" w:type="dxa"/>
            <w:gridSpan w:val="7"/>
            <w:tcBorders>
              <w:top w:val="single" w:sz="8" w:space="0" w:color="auto"/>
              <w:bottom w:val="single" w:sz="8" w:space="0" w:color="auto"/>
            </w:tcBorders>
            <w:shd w:val="clear" w:color="auto" w:fill="D9D9D9" w:themeFill="background1" w:themeFillShade="D9"/>
            <w:noWrap/>
            <w:vAlign w:val="center"/>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2003</w:t>
            </w:r>
          </w:p>
          <w:p w:rsidR="008268EB" w:rsidRPr="008268EB" w:rsidRDefault="008268EB" w:rsidP="008268EB">
            <w:pPr>
              <w:spacing w:after="0" w:line="240" w:lineRule="auto"/>
              <w:jc w:val="center"/>
              <w:rPr>
                <w:rFonts w:ascii="Segoe UI" w:eastAsia="Calibri" w:hAnsi="Segoe UI" w:cs="Calibri"/>
                <w:sz w:val="19"/>
                <w:szCs w:val="19"/>
                <w:lang w:eastAsia="en-AU"/>
              </w:rPr>
            </w:pPr>
          </w:p>
        </w:tc>
      </w:tr>
      <w:tr w:rsidR="008268EB" w:rsidRPr="008268EB" w:rsidTr="007F17A0">
        <w:trPr>
          <w:trHeight w:val="369"/>
        </w:trPr>
        <w:tc>
          <w:tcPr>
            <w:tcW w:w="1899" w:type="dxa"/>
            <w:tcBorders>
              <w:top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Central Highlands</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2,956</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8,376</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15,763</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27,094</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24,138</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89%</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64,199</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37,458</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122,768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224,424</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160,226</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71%</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51,505</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68,542</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89,017</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209,064</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157,559</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75%</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84,808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77,101</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98,218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260,128</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175,320</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67%</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West</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16,428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35,092</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78,971</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130,492</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114,064</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87%</w:t>
            </w:r>
          </w:p>
        </w:tc>
      </w:tr>
      <w:tr w:rsidR="008268EB" w:rsidRPr="008268EB" w:rsidTr="007F17A0">
        <w:trPr>
          <w:trHeight w:val="369"/>
        </w:trPr>
        <w:tc>
          <w:tcPr>
            <w:tcW w:w="1899" w:type="dxa"/>
            <w:tcBorders>
              <w:bottom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b/>
                <w:sz w:val="19"/>
                <w:szCs w:val="19"/>
                <w:lang w:eastAsia="en-AU"/>
              </w:rPr>
              <w:t>Total 2003</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219,896</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226,569</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404,737</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851,202</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631,307</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74%</w:t>
            </w:r>
          </w:p>
        </w:tc>
      </w:tr>
      <w:tr w:rsidR="008268EB" w:rsidRPr="008268EB" w:rsidTr="007F17A0">
        <w:trPr>
          <w:trHeight w:val="369"/>
        </w:trPr>
        <w:tc>
          <w:tcPr>
            <w:tcW w:w="9090" w:type="dxa"/>
            <w:gridSpan w:val="7"/>
            <w:tcBorders>
              <w:top w:val="single" w:sz="8" w:space="0" w:color="auto"/>
              <w:bottom w:val="single" w:sz="8" w:space="0" w:color="auto"/>
            </w:tcBorders>
            <w:shd w:val="clear" w:color="auto" w:fill="auto"/>
            <w:noWrap/>
            <w:vAlign w:val="center"/>
            <w:hideMark/>
          </w:tcPr>
          <w:p w:rsidR="008268EB" w:rsidRPr="008268EB" w:rsidRDefault="008268EB" w:rsidP="008268EB">
            <w:pPr>
              <w:spacing w:after="0" w:line="240" w:lineRule="auto"/>
              <w:jc w:val="center"/>
              <w:rPr>
                <w:rFonts w:ascii="Segoe UI" w:eastAsia="Calibri" w:hAnsi="Segoe UI" w:cs="Calibri"/>
                <w:position w:val="8"/>
                <w:sz w:val="19"/>
                <w:szCs w:val="19"/>
                <w:lang w:eastAsia="en-AU"/>
              </w:rPr>
            </w:pPr>
            <w:r w:rsidRPr="008268EB">
              <w:rPr>
                <w:rFonts w:ascii="Segoe UI" w:eastAsia="Calibri" w:hAnsi="Segoe UI" w:cs="Calibri"/>
                <w:sz w:val="19"/>
                <w:szCs w:val="19"/>
                <w:lang w:eastAsia="en-AU"/>
              </w:rPr>
              <w:t>CRA Assessment</w:t>
            </w:r>
            <w:r w:rsidRPr="008268EB">
              <w:rPr>
                <w:rFonts w:ascii="Segoe UI" w:eastAsia="Calibri" w:hAnsi="Segoe UI" w:cs="Calibri"/>
                <w:position w:val="8"/>
                <w:sz w:val="19"/>
                <w:szCs w:val="19"/>
                <w:lang w:eastAsia="en-AU"/>
              </w:rPr>
              <w:t>a</w:t>
            </w:r>
          </w:p>
          <w:p w:rsidR="008268EB" w:rsidRPr="008268EB" w:rsidRDefault="008268EB" w:rsidP="008268EB">
            <w:pPr>
              <w:spacing w:after="0" w:line="240" w:lineRule="auto"/>
              <w:jc w:val="center"/>
              <w:rPr>
                <w:rFonts w:ascii="Segoe UI" w:eastAsia="Calibri" w:hAnsi="Segoe UI" w:cs="Calibri"/>
                <w:sz w:val="19"/>
                <w:szCs w:val="19"/>
                <w:lang w:eastAsia="en-AU"/>
              </w:rPr>
            </w:pPr>
          </w:p>
        </w:tc>
      </w:tr>
      <w:tr w:rsidR="008268EB" w:rsidRPr="008268EB" w:rsidTr="007F17A0">
        <w:trPr>
          <w:trHeight w:val="369"/>
        </w:trPr>
        <w:tc>
          <w:tcPr>
            <w:tcW w:w="1899" w:type="dxa"/>
            <w:tcBorders>
              <w:top w:val="single" w:sz="8" w:space="0" w:color="auto"/>
            </w:tcBorders>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Central Highlands</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4,105</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7,769</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14,077</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25,951</w:t>
            </w:r>
          </w:p>
        </w:tc>
        <w:tc>
          <w:tcPr>
            <w:tcW w:w="1198"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21,846</w:t>
            </w:r>
          </w:p>
        </w:tc>
        <w:tc>
          <w:tcPr>
            <w:tcW w:w="1199" w:type="dxa"/>
            <w:tcBorders>
              <w:top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84%</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209,475</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3,375</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122,150</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225,000</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125,525</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56%</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69,248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50,248</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88,765</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208,261</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139,013</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67%</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111,934</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48,454</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99,077</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259,465</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147,531</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57%</w:t>
            </w:r>
          </w:p>
        </w:tc>
      </w:tr>
      <w:tr w:rsidR="008268EB" w:rsidRPr="008268EB" w:rsidTr="007F17A0">
        <w:trPr>
          <w:trHeight w:val="369"/>
        </w:trPr>
        <w:tc>
          <w:tcPr>
            <w:tcW w:w="1899" w:type="dxa"/>
            <w:noWrap/>
            <w:vAlign w:val="center"/>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West</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12,846</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33,398</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76,998</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123,242</w:t>
            </w:r>
          </w:p>
        </w:tc>
        <w:tc>
          <w:tcPr>
            <w:tcW w:w="1198"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110,396</w:t>
            </w:r>
          </w:p>
        </w:tc>
        <w:tc>
          <w:tcPr>
            <w:tcW w:w="1199" w:type="dxa"/>
            <w:noWrap/>
            <w:vAlign w:val="center"/>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90%</w:t>
            </w:r>
          </w:p>
        </w:tc>
      </w:tr>
      <w:tr w:rsidR="008268EB" w:rsidRPr="008268EB" w:rsidTr="007F17A0">
        <w:trPr>
          <w:trHeight w:val="369"/>
        </w:trPr>
        <w:tc>
          <w:tcPr>
            <w:tcW w:w="1899" w:type="dxa"/>
            <w:tcBorders>
              <w:bottom w:val="single" w:sz="8" w:space="0" w:color="auto"/>
            </w:tcBorders>
            <w:noWrap/>
            <w:vAlign w:val="center"/>
            <w:hideMark/>
          </w:tcPr>
          <w:p w:rsidR="008268EB" w:rsidRPr="008268EB" w:rsidRDefault="008268EB" w:rsidP="008268EB">
            <w:pPr>
              <w:spacing w:before="20" w:after="0" w:line="240" w:lineRule="auto"/>
              <w:rPr>
                <w:rFonts w:ascii="Segoe UI" w:hAnsi="Segoe UI" w:cs="Segoe UI"/>
                <w:b/>
                <w:sz w:val="19"/>
                <w:szCs w:val="19"/>
              </w:rPr>
            </w:pPr>
            <w:r w:rsidRPr="008268EB">
              <w:rPr>
                <w:rFonts w:ascii="Segoe UI" w:hAnsi="Segoe UI" w:cs="Calibri"/>
                <w:b/>
                <w:sz w:val="19"/>
                <w:szCs w:val="19"/>
                <w:lang w:eastAsia="en-AU"/>
              </w:rPr>
              <w:t>Total CRA</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407,608</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143,244</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291,067</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841,919</w:t>
            </w:r>
          </w:p>
        </w:tc>
        <w:tc>
          <w:tcPr>
            <w:tcW w:w="1198"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544,311</w:t>
            </w:r>
          </w:p>
        </w:tc>
        <w:tc>
          <w:tcPr>
            <w:tcW w:w="1199" w:type="dxa"/>
            <w:tcBorders>
              <w:bottom w:val="single" w:sz="8" w:space="0" w:color="auto"/>
            </w:tcBorders>
            <w:noWrap/>
            <w:vAlign w:val="center"/>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65%</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a</w:t>
      </w:r>
      <w:r w:rsidRPr="008268EB">
        <w:rPr>
          <w:rFonts w:ascii="Segoe UI" w:eastAsia="STZhongsong" w:hAnsi="Segoe UI" w:cs="Segoe UI"/>
          <w:bCs/>
          <w:sz w:val="18"/>
          <w:szCs w:val="18"/>
          <w:lang w:eastAsia="ko-KR"/>
        </w:rPr>
        <w:tab/>
        <w:t xml:space="preserve">Data taken from CRA documents.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DELWP Old-growth layer derived from OG100 and updated based on knowledge of EVC and disturbance history. CAR layers represent a union between FMZ100 and PLM25 for each year presented. Old-growth data for 2003 derived from OG100. 2009 derived from MOG2009, and 2018 represents MOG2018 against the CAR 2018</w:t>
      </w:r>
      <w:r w:rsidRPr="008268EB">
        <w:rPr>
          <w:rFonts w:ascii="Segoe UI" w:eastAsia="STZhongsong" w:hAnsi="Segoe UI" w:cs="Segoe UI"/>
          <w:bCs/>
          <w:sz w:val="18"/>
          <w:szCs w:val="18"/>
          <w:lang w:eastAsia="ko-KR"/>
        </w:rPr>
        <w:br/>
      </w:r>
    </w:p>
    <w:p w:rsidR="008268EB" w:rsidRPr="008268EB" w:rsidRDefault="008268EB" w:rsidP="008268EB">
      <w:pPr>
        <w:jc w:val="both"/>
        <w:rPr>
          <w:rFonts w:ascii="Segoe UI" w:hAnsi="Segoe UI" w:cs="Segoe UI"/>
        </w:rPr>
      </w:pPr>
      <w:r w:rsidRPr="008268EB">
        <w:rPr>
          <w:rFonts w:ascii="Segoe UI" w:hAnsi="Segoe UI" w:cs="Segoe UI"/>
        </w:rPr>
        <w:t xml:space="preserve">An update to old growth in the West RFA was modelled in 2019 to a 2018 baseline year extent, which is the reason for the significant changes between 2009 and 2018. It should be noted that old growth in many of the West RFA EVCs do not hold the same characteristics as tall, wet forests of the east, except for the tall forests of the </w:t>
      </w:r>
      <w:proofErr w:type="spellStart"/>
      <w:r w:rsidRPr="008268EB">
        <w:rPr>
          <w:rFonts w:ascii="Segoe UI" w:hAnsi="Segoe UI" w:cs="Segoe UI"/>
        </w:rPr>
        <w:t>Otways</w:t>
      </w:r>
      <w:proofErr w:type="spellEnd"/>
      <w:r w:rsidRPr="008268EB">
        <w:rPr>
          <w:rFonts w:ascii="Segoe UI" w:hAnsi="Segoe UI" w:cs="Segoe UI"/>
        </w:rPr>
        <w:t>. Victoria’s western EVCs often do not conform to the ‘</w:t>
      </w:r>
      <w:proofErr w:type="spellStart"/>
      <w:r w:rsidRPr="008268EB">
        <w:rPr>
          <w:rFonts w:ascii="Segoe UI" w:hAnsi="Segoe UI" w:cs="Segoe UI"/>
        </w:rPr>
        <w:t>Jacobsian</w:t>
      </w:r>
      <w:proofErr w:type="spellEnd"/>
      <w:r w:rsidRPr="008268EB">
        <w:rPr>
          <w:rFonts w:ascii="Segoe UI" w:hAnsi="Segoe UI" w:cs="Segoe UI"/>
        </w:rPr>
        <w:t xml:space="preserve">’ forest types: the forest types that reflect the growth stages described by Jacobs (1955). Most importantly, field verification is required to confidently determine that the disturbance thresholds that were applied to the modelling to remove old growth did indeed remove the structural attributes of those areas causing a disturbance impact that was no longer ‘negligible’. Similarly, </w:t>
      </w:r>
      <w:proofErr w:type="spellStart"/>
      <w:r w:rsidRPr="008268EB">
        <w:rPr>
          <w:rFonts w:ascii="Segoe UI" w:hAnsi="Segoe UI" w:cs="Segoe UI"/>
        </w:rPr>
        <w:t>sprouter</w:t>
      </w:r>
      <w:proofErr w:type="spellEnd"/>
      <w:r w:rsidRPr="008268EB">
        <w:rPr>
          <w:rFonts w:ascii="Segoe UI" w:hAnsi="Segoe UI" w:cs="Segoe UI"/>
        </w:rPr>
        <w:t xml:space="preserve"> forest</w:t>
      </w:r>
      <w:r w:rsidRPr="008268EB">
        <w:rPr>
          <w:rFonts w:ascii="Segoe UI" w:hAnsi="Segoe UI" w:cs="Segoe UI"/>
          <w:vertAlign w:val="superscript"/>
        </w:rPr>
        <w:footnoteReference w:id="2"/>
      </w:r>
      <w:r w:rsidRPr="008268EB">
        <w:rPr>
          <w:rFonts w:ascii="Segoe UI" w:hAnsi="Segoe UI" w:cs="Segoe UI"/>
        </w:rPr>
        <w:t xml:space="preserve"> in Gippsland may recover to its old-growth status following fire more readily than obligate </w:t>
      </w:r>
      <w:proofErr w:type="spellStart"/>
      <w:r w:rsidRPr="008268EB">
        <w:rPr>
          <w:rFonts w:ascii="Segoe UI" w:hAnsi="Segoe UI" w:cs="Segoe UI"/>
        </w:rPr>
        <w:t>seeder</w:t>
      </w:r>
      <w:proofErr w:type="spellEnd"/>
      <w:r w:rsidRPr="008268EB">
        <w:rPr>
          <w:rFonts w:ascii="Segoe UI" w:hAnsi="Segoe UI" w:cs="Segoe UI"/>
        </w:rPr>
        <w:t xml:space="preserve"> forest in the ash-dominated forests of the Central Highlands.</w:t>
      </w:r>
    </w:p>
    <w:p w:rsidR="008268EB" w:rsidRPr="008268EB" w:rsidRDefault="008268EB" w:rsidP="008268EB">
      <w:pPr>
        <w:jc w:val="both"/>
        <w:rPr>
          <w:rFonts w:ascii="Segoe UI" w:hAnsi="Segoe UI" w:cs="Segoe UI"/>
        </w:rPr>
      </w:pPr>
      <w:r w:rsidRPr="008268EB">
        <w:rPr>
          <w:rFonts w:ascii="Segoe UI" w:hAnsi="Segoe UI" w:cs="Segoe UI"/>
        </w:rPr>
        <w:fldChar w:fldCharType="begin"/>
      </w:r>
      <w:r w:rsidRPr="008268EB">
        <w:rPr>
          <w:rFonts w:ascii="Segoe UI" w:hAnsi="Segoe UI" w:cs="Segoe UI"/>
        </w:rPr>
        <w:instrText xml:space="preserve"> REF _Ref14344534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6</w:t>
      </w:r>
      <w:r w:rsidRPr="008268EB">
        <w:rPr>
          <w:rFonts w:ascii="Segoe UI" w:hAnsi="Segoe UI" w:cs="Segoe UI"/>
        </w:rPr>
        <w:fldChar w:fldCharType="end"/>
      </w:r>
      <w:r w:rsidRPr="008268EB">
        <w:rPr>
          <w:rFonts w:ascii="Segoe UI" w:hAnsi="Segoe UI" w:cs="Segoe UI"/>
        </w:rPr>
        <w:t xml:space="preserve"> describes the quantum of change in the modelled old-growth extent on account of disturbance, of which the vast majority is aligned with forest fires. The impact of harvesting is comparatively minor.</w:t>
      </w:r>
    </w:p>
    <w:p w:rsidR="008268EB" w:rsidRPr="008268EB" w:rsidRDefault="008268EB" w:rsidP="008268EB">
      <w:pPr>
        <w:jc w:val="both"/>
        <w:rPr>
          <w:rFonts w:ascii="Segoe UI" w:hAnsi="Segoe UI" w:cs="Segoe UI"/>
        </w:rPr>
      </w:pPr>
      <w:r w:rsidRPr="008268EB">
        <w:rPr>
          <w:rFonts w:ascii="Segoe UI" w:hAnsi="Segoe UI" w:cs="Segoe UI"/>
        </w:rPr>
        <w:t xml:space="preserve">In 2019, DELWP initiated the development of an old-growth ground validation methodology. It is intended that the method will increase confidence when applied to current and future old-growth mapping products. In addition, </w:t>
      </w:r>
      <w:proofErr w:type="spellStart"/>
      <w:r w:rsidRPr="008268EB">
        <w:rPr>
          <w:rFonts w:ascii="Segoe UI" w:hAnsi="Segoe UI" w:cs="Segoe UI"/>
        </w:rPr>
        <w:t>VicForests</w:t>
      </w:r>
      <w:proofErr w:type="spellEnd"/>
      <w:r w:rsidRPr="008268EB">
        <w:rPr>
          <w:rFonts w:ascii="Segoe UI" w:hAnsi="Segoe UI" w:cs="Segoe UI"/>
        </w:rPr>
        <w:t xml:space="preserve"> will verify mapped old growth through field surveys and, when observed in the field, they will exclude and protect old growth, as well as other high conservation values from timber production (</w:t>
      </w:r>
      <w:proofErr w:type="spellStart"/>
      <w:r w:rsidRPr="008268EB">
        <w:rPr>
          <w:rFonts w:ascii="Segoe UI" w:hAnsi="Segoe UI" w:cs="Segoe UI"/>
        </w:rPr>
        <w:t>VicForests</w:t>
      </w:r>
      <w:proofErr w:type="spellEnd"/>
      <w:r w:rsidRPr="008268EB">
        <w:rPr>
          <w:rFonts w:ascii="Segoe UI" w:hAnsi="Segoe UI" w:cs="Segoe UI"/>
        </w:rPr>
        <w:t xml:space="preserve"> 2019). In effect, this provides for informal protection of all old growth in State forest.</w:t>
      </w:r>
    </w:p>
    <w:p w:rsidR="008268EB" w:rsidRPr="008268EB" w:rsidRDefault="008268EB" w:rsidP="008268EB">
      <w:pPr>
        <w:jc w:val="both"/>
        <w:rPr>
          <w:rFonts w:ascii="Segoe UI" w:hAnsi="Segoe UI" w:cs="Segoe UI"/>
        </w:rPr>
      </w:pPr>
    </w:p>
    <w:p w:rsidR="008268EB" w:rsidRPr="008268EB" w:rsidRDefault="008268EB" w:rsidP="008268EB">
      <w:pPr>
        <w:jc w:val="both"/>
        <w:rPr>
          <w:rFonts w:ascii="Segoe UI Semibold" w:eastAsia="Times New Roman" w:hAnsi="Segoe UI Semibold" w:cs="Times New Roman"/>
          <w:color w:val="016295"/>
        </w:rPr>
      </w:pPr>
      <w:bookmarkStart w:id="19" w:name="_Ref11582027"/>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20" w:name="_Ref14344534"/>
      <w:bookmarkStart w:id="21" w:name="_Toc25660790"/>
      <w:bookmarkStart w:id="22" w:name="_Hlk18510972"/>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6</w:t>
      </w:r>
      <w:r w:rsidRPr="008268EB">
        <w:rPr>
          <w:rFonts w:ascii="Segoe UI Semibold" w:eastAsia="Times New Roman" w:hAnsi="Segoe UI Semibold" w:cs="Times New Roman"/>
          <w:noProof/>
          <w:color w:val="016295"/>
        </w:rPr>
        <w:fldChar w:fldCharType="end"/>
      </w:r>
      <w:bookmarkEnd w:id="19"/>
      <w:bookmarkEnd w:id="20"/>
      <w:r w:rsidRPr="008268EB">
        <w:rPr>
          <w:rFonts w:ascii="Segoe UI Semibold" w:eastAsia="Times New Roman" w:hAnsi="Segoe UI Semibold" w:cs="Times New Roman"/>
          <w:color w:val="016295"/>
        </w:rPr>
        <w:t>: The impacted area of modelled old-growth forest by harvesting and fire</w:t>
      </w:r>
      <w:bookmarkEnd w:id="21"/>
    </w:p>
    <w:tbl>
      <w:tblPr>
        <w:tblpPr w:leftFromText="180" w:rightFromText="180" w:vertAnchor="text" w:tblpY="1"/>
        <w:tblW w:w="4573" w:type="dxa"/>
        <w:tblLayout w:type="fixed"/>
        <w:tblCellMar>
          <w:top w:w="85" w:type="dxa"/>
          <w:bottom w:w="85" w:type="dxa"/>
        </w:tblCellMar>
        <w:tblLook w:val="04A0" w:firstRow="1" w:lastRow="0" w:firstColumn="1" w:lastColumn="0" w:noHBand="0" w:noVBand="1"/>
      </w:tblPr>
      <w:tblGrid>
        <w:gridCol w:w="832"/>
        <w:gridCol w:w="1247"/>
        <w:gridCol w:w="1247"/>
        <w:gridCol w:w="1247"/>
      </w:tblGrid>
      <w:tr w:rsidR="008268EB" w:rsidRPr="008268EB" w:rsidTr="007F17A0">
        <w:tc>
          <w:tcPr>
            <w:tcW w:w="832" w:type="dxa"/>
            <w:tcBorders>
              <w:bottom w:val="single" w:sz="4" w:space="0" w:color="auto"/>
            </w:tcBorders>
            <w:shd w:val="clear" w:color="auto" w:fill="E2EFD9" w:themeFill="accent6" w:themeFillTint="33"/>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Year</w:t>
            </w:r>
          </w:p>
        </w:tc>
        <w:tc>
          <w:tcPr>
            <w:tcW w:w="1247" w:type="dxa"/>
            <w:tcBorders>
              <w:bottom w:val="single" w:sz="4" w:space="0" w:color="auto"/>
            </w:tcBorders>
            <w:shd w:val="clear" w:color="auto" w:fill="E2EFD9" w:themeFill="accent6" w:themeFillTint="33"/>
          </w:tcPr>
          <w:p w:rsidR="008268EB" w:rsidRPr="008268EB" w:rsidRDefault="008268EB" w:rsidP="008268EB">
            <w:pPr>
              <w:spacing w:after="0" w:line="240" w:lineRule="auto"/>
              <w:jc w:val="center"/>
              <w:rPr>
                <w:rFonts w:ascii="Segoe UI" w:eastAsia="Calibri" w:hAnsi="Segoe UI" w:cs="Calibri"/>
                <w:sz w:val="19"/>
                <w:szCs w:val="19"/>
              </w:rPr>
            </w:pPr>
            <w:r w:rsidRPr="008268EB">
              <w:rPr>
                <w:rFonts w:ascii="Segoe UI" w:eastAsia="Calibri" w:hAnsi="Segoe UI" w:cs="Calibri"/>
                <w:sz w:val="19"/>
                <w:szCs w:val="19"/>
                <w:lang w:eastAsia="en-AU"/>
              </w:rPr>
              <w:t>Harvesting</w:t>
            </w:r>
          </w:p>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247" w:type="dxa"/>
            <w:tcBorders>
              <w:bottom w:val="single" w:sz="4" w:space="0" w:color="auto"/>
            </w:tcBorders>
            <w:shd w:val="clear" w:color="auto" w:fill="E2EFD9" w:themeFill="accent6" w:themeFillTint="33"/>
          </w:tcPr>
          <w:p w:rsidR="008268EB" w:rsidRPr="008268EB" w:rsidRDefault="008268EB" w:rsidP="008268EB">
            <w:pPr>
              <w:spacing w:after="0" w:line="240" w:lineRule="auto"/>
              <w:jc w:val="center"/>
              <w:rPr>
                <w:rFonts w:ascii="Segoe UI" w:eastAsia="Calibri" w:hAnsi="Segoe UI" w:cs="Calibri"/>
                <w:sz w:val="19"/>
                <w:szCs w:val="19"/>
              </w:rPr>
            </w:pPr>
            <w:r w:rsidRPr="008268EB">
              <w:rPr>
                <w:rFonts w:ascii="Segoe UI" w:eastAsia="Calibri" w:hAnsi="Segoe UI" w:cs="Calibri"/>
                <w:sz w:val="19"/>
                <w:szCs w:val="19"/>
                <w:lang w:eastAsia="en-AU"/>
              </w:rPr>
              <w:t xml:space="preserve">Fire </w:t>
            </w:r>
          </w:p>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247" w:type="dxa"/>
            <w:tcBorders>
              <w:bottom w:val="single" w:sz="4" w:space="0" w:color="auto"/>
            </w:tcBorders>
            <w:shd w:val="clear" w:color="auto" w:fill="E2EFD9" w:themeFill="accent6" w:themeFillTint="33"/>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Total</w:t>
            </w:r>
          </w:p>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r>
      <w:tr w:rsidR="008268EB" w:rsidRPr="008268EB" w:rsidTr="007F17A0">
        <w:trPr>
          <w:trHeight w:val="340"/>
        </w:trPr>
        <w:tc>
          <w:tcPr>
            <w:tcW w:w="832" w:type="dxa"/>
            <w:tcBorders>
              <w:top w:val="single" w:sz="4" w:space="0" w:color="auto"/>
            </w:tcBorders>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2006 </w:t>
            </w:r>
          </w:p>
        </w:tc>
        <w:tc>
          <w:tcPr>
            <w:tcW w:w="1247" w:type="dxa"/>
            <w:tcBorders>
              <w:top w:val="single" w:sz="4" w:space="0" w:color="auto"/>
            </w:tcBorders>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Borders>
              <w:top w:val="single" w:sz="4" w:space="0" w:color="auto"/>
            </w:tcBorders>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1,257</w:t>
            </w:r>
          </w:p>
        </w:tc>
        <w:tc>
          <w:tcPr>
            <w:tcW w:w="1247" w:type="dxa"/>
            <w:tcBorders>
              <w:top w:val="single" w:sz="4" w:space="0" w:color="auto"/>
            </w:tcBorders>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1,257</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2007 </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217,847</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217,867</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2008 </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12,935</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12,941</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2009 </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17,567</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17,567</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2011</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215*</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215</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2012</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140</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2013</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108,724</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109,015</w:t>
            </w:r>
          </w:p>
        </w:tc>
      </w:tr>
      <w:tr w:rsidR="008268EB" w:rsidRPr="008268EB" w:rsidTr="007F17A0">
        <w:trPr>
          <w:trHeight w:val="340"/>
        </w:trPr>
        <w:tc>
          <w:tcPr>
            <w:tcW w:w="832" w:type="dxa"/>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2014</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27,197</w:t>
            </w:r>
          </w:p>
        </w:tc>
        <w:tc>
          <w:tcPr>
            <w:tcW w:w="1247" w:type="dxa"/>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27,302</w:t>
            </w:r>
          </w:p>
        </w:tc>
      </w:tr>
      <w:tr w:rsidR="008268EB" w:rsidRPr="008268EB" w:rsidTr="007F17A0">
        <w:trPr>
          <w:trHeight w:val="340"/>
        </w:trPr>
        <w:tc>
          <w:tcPr>
            <w:tcW w:w="832" w:type="dxa"/>
            <w:tcBorders>
              <w:bottom w:val="single" w:sz="4" w:space="0" w:color="auto"/>
            </w:tcBorders>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2015</w:t>
            </w:r>
          </w:p>
        </w:tc>
        <w:tc>
          <w:tcPr>
            <w:tcW w:w="1247" w:type="dxa"/>
            <w:tcBorders>
              <w:bottom w:val="single" w:sz="4" w:space="0" w:color="auto"/>
            </w:tcBorders>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w:t>
            </w:r>
          </w:p>
        </w:tc>
        <w:tc>
          <w:tcPr>
            <w:tcW w:w="1247" w:type="dxa"/>
            <w:tcBorders>
              <w:bottom w:val="single" w:sz="4" w:space="0" w:color="auto"/>
            </w:tcBorders>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4,623</w:t>
            </w:r>
          </w:p>
        </w:tc>
        <w:tc>
          <w:tcPr>
            <w:tcW w:w="1247" w:type="dxa"/>
            <w:tcBorders>
              <w:bottom w:val="single" w:sz="4" w:space="0" w:color="auto"/>
            </w:tcBorders>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4,903</w:t>
            </w:r>
          </w:p>
        </w:tc>
      </w:tr>
      <w:tr w:rsidR="008268EB" w:rsidRPr="008268EB" w:rsidTr="007F17A0">
        <w:trPr>
          <w:trHeight w:val="340"/>
        </w:trPr>
        <w:tc>
          <w:tcPr>
            <w:tcW w:w="832" w:type="dxa"/>
            <w:tcBorders>
              <w:top w:val="single" w:sz="4" w:space="0" w:color="auto"/>
              <w:bottom w:val="single" w:sz="4" w:space="0" w:color="auto"/>
            </w:tcBorders>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b/>
                <w:sz w:val="19"/>
                <w:szCs w:val="19"/>
                <w:lang w:eastAsia="en-AU"/>
              </w:rPr>
              <w:t xml:space="preserve">Total </w:t>
            </w:r>
          </w:p>
        </w:tc>
        <w:tc>
          <w:tcPr>
            <w:tcW w:w="1247" w:type="dxa"/>
            <w:tcBorders>
              <w:top w:val="single" w:sz="4" w:space="0" w:color="auto"/>
              <w:bottom w:val="single" w:sz="4" w:space="0" w:color="auto"/>
            </w:tcBorders>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fldChar w:fldCharType="begin"/>
            </w:r>
            <w:r w:rsidRPr="008268EB">
              <w:rPr>
                <w:rFonts w:ascii="Segoe UI" w:eastAsia="Calibri" w:hAnsi="Segoe UI" w:cs="Calibri"/>
                <w:b/>
                <w:color w:val="000000"/>
                <w:sz w:val="19"/>
                <w:szCs w:val="19"/>
                <w:lang w:eastAsia="en-AU"/>
              </w:rPr>
              <w:instrText xml:space="preserve"> =SUM(ABOVE) </w:instrText>
            </w:r>
            <w:r w:rsidRPr="008268EB">
              <w:rPr>
                <w:rFonts w:ascii="Segoe UI" w:eastAsia="Calibri" w:hAnsi="Segoe UI" w:cs="Calibri"/>
                <w:b/>
                <w:color w:val="000000"/>
                <w:sz w:val="19"/>
                <w:szCs w:val="19"/>
                <w:lang w:eastAsia="en-AU"/>
              </w:rPr>
              <w:fldChar w:fldCharType="separate"/>
            </w:r>
            <w:r w:rsidRPr="008268EB">
              <w:rPr>
                <w:rFonts w:ascii="Segoe UI" w:eastAsia="Calibri" w:hAnsi="Segoe UI" w:cs="Calibri"/>
                <w:b/>
                <w:noProof/>
                <w:color w:val="000000"/>
                <w:sz w:val="19"/>
                <w:szCs w:val="19"/>
                <w:lang w:eastAsia="en-AU"/>
              </w:rPr>
              <w:t>7</w:t>
            </w:r>
            <w:r w:rsidRPr="008268EB">
              <w:rPr>
                <w:rFonts w:ascii="Segoe UI" w:eastAsia="Calibri" w:hAnsi="Segoe UI" w:cs="Calibri"/>
                <w:b/>
                <w:color w:val="000000"/>
                <w:sz w:val="19"/>
                <w:szCs w:val="19"/>
                <w:lang w:eastAsia="en-AU"/>
              </w:rPr>
              <w:fldChar w:fldCharType="end"/>
            </w:r>
          </w:p>
        </w:tc>
        <w:tc>
          <w:tcPr>
            <w:tcW w:w="1247" w:type="dxa"/>
            <w:tcBorders>
              <w:top w:val="single" w:sz="4" w:space="0" w:color="auto"/>
              <w:bottom w:val="single" w:sz="4" w:space="0" w:color="auto"/>
            </w:tcBorders>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390,150</w:t>
            </w:r>
          </w:p>
        </w:tc>
        <w:tc>
          <w:tcPr>
            <w:tcW w:w="1247" w:type="dxa"/>
            <w:tcBorders>
              <w:top w:val="single" w:sz="4" w:space="0" w:color="auto"/>
              <w:bottom w:val="single" w:sz="4" w:space="0" w:color="auto"/>
            </w:tcBorders>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395,815</w:t>
            </w:r>
          </w:p>
        </w:tc>
      </w:tr>
      <w:bookmarkEnd w:id="22"/>
    </w:tbl>
    <w:p w:rsidR="008268EB" w:rsidRPr="008268EB" w:rsidRDefault="008268EB" w:rsidP="008268EB">
      <w:pPr>
        <w:spacing w:before="80"/>
        <w:rPr>
          <w:rFonts w:ascii="Segoe UI" w:eastAsia="STZhongsong" w:hAnsi="Segoe UI" w:cs="Segoe UI"/>
          <w:bCs/>
          <w:sz w:val="18"/>
          <w:szCs w:val="18"/>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rPr>
          <w:rFonts w:ascii="Segoe UI" w:hAnsi="Segoe UI" w:cs="Segoe UI"/>
          <w:lang w:eastAsia="ko-KR"/>
        </w:rPr>
      </w:pPr>
    </w:p>
    <w:p w:rsidR="008268EB" w:rsidRPr="008268EB" w:rsidRDefault="008268EB" w:rsidP="008268EB">
      <w:pPr>
        <w:jc w:val="center"/>
        <w:rPr>
          <w:rFonts w:ascii="Segoe UI" w:hAnsi="Segoe UI" w:cs="Segoe UI"/>
          <w:lang w:eastAsia="ko-KR"/>
        </w:rPr>
      </w:pP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br w:type="textWrapping" w:clear="all"/>
        <w:t>Source: Data from DELWP’s corporate library - FIREHISTORY and LASTLOG100 layers</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*While the table suggests 215 hectares of area classified as ‘old growth’ was thinned, this has not been verified on the ground and may be an artefact of the data modelling.</w:t>
      </w:r>
    </w:p>
    <w:p w:rsidR="008268EB" w:rsidRPr="008268EB" w:rsidRDefault="008268EB" w:rsidP="008268EB">
      <w:pPr>
        <w:keepNext/>
        <w:spacing w:before="120" w:after="120" w:line="240" w:lineRule="auto"/>
        <w:jc w:val="both"/>
        <w:outlineLvl w:val="3"/>
        <w:rPr>
          <w:rFonts w:ascii="Segoe UI" w:hAnsi="Segoe UI" w:cs="Segoe UI"/>
          <w:i/>
          <w:sz w:val="24"/>
          <w:szCs w:val="24"/>
        </w:rPr>
      </w:pPr>
      <w:bookmarkStart w:id="23" w:name="_1317887071"/>
      <w:bookmarkStart w:id="24" w:name="_MON_1317887071"/>
      <w:bookmarkStart w:id="25" w:name="_MON_1317123386"/>
      <w:bookmarkStart w:id="26" w:name="_MON_1317123897"/>
      <w:bookmarkEnd w:id="23"/>
      <w:bookmarkEnd w:id="24"/>
      <w:bookmarkEnd w:id="25"/>
      <w:bookmarkEnd w:id="26"/>
      <w:r w:rsidRPr="008268EB">
        <w:rPr>
          <w:rFonts w:ascii="Segoe UI" w:hAnsi="Segoe UI" w:cs="Segoe UI"/>
          <w:i/>
          <w:sz w:val="24"/>
          <w:szCs w:val="24"/>
        </w:rPr>
        <w:t>Old-growth area by ecological vegetation class and protected area class</w:t>
      </w:r>
    </w:p>
    <w:p w:rsidR="008268EB" w:rsidRPr="008268EB" w:rsidRDefault="008268EB" w:rsidP="008268EB">
      <w:pPr>
        <w:jc w:val="both"/>
        <w:rPr>
          <w:rFonts w:ascii="Segoe UI" w:hAnsi="Segoe UI" w:cs="Segoe UI"/>
        </w:rPr>
      </w:pPr>
      <w:r w:rsidRPr="008268EB">
        <w:rPr>
          <w:rFonts w:ascii="Segoe UI" w:hAnsi="Segoe UI" w:cs="Segoe UI"/>
        </w:rPr>
        <w:t>The JANIS criteria recognise that old growth is part of an ecological succession. It is not static and therefore cannot be maintained indefinitely through the reservation of existing examples of that age class. However, where old growth is depleted, the criteria recognise its value to the extent that examples of rare or threatened old-growth EVCs are protected, albeit in a flexible manner. Indeed, the criteria states that old growth should be reserved based on an appropriate mosaic of age-classes that encourage the regeneration of emergent old growth for the future.</w:t>
      </w:r>
    </w:p>
    <w:p w:rsidR="008268EB" w:rsidRPr="008268EB" w:rsidRDefault="008268EB" w:rsidP="008268EB">
      <w:pPr>
        <w:jc w:val="both"/>
        <w:rPr>
          <w:rFonts w:ascii="Segoe UI" w:hAnsi="Segoe UI" w:cs="Segoe UI"/>
        </w:rPr>
      </w:pPr>
      <w:r w:rsidRPr="008268EB">
        <w:rPr>
          <w:rFonts w:ascii="Segoe UI" w:hAnsi="Segoe UI" w:cs="Segoe UI"/>
        </w:rPr>
        <w:t xml:space="preserve">For the application of JANIS, therefore, an understanding of old-growth EVC and protected area status is required. This information is documented in the Appendices under </w:t>
      </w:r>
      <w:r w:rsidRPr="008268EB">
        <w:rPr>
          <w:rFonts w:ascii="Segoe UI" w:hAnsi="Segoe UI" w:cs="Segoe UI"/>
        </w:rPr>
        <w:fldChar w:fldCharType="begin"/>
      </w:r>
      <w:r w:rsidRPr="008268EB">
        <w:rPr>
          <w:rFonts w:ascii="Segoe UI" w:hAnsi="Segoe UI" w:cs="Segoe UI"/>
        </w:rPr>
        <w:instrText xml:space="preserve"> REF _Ref14332002 \w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1</w:t>
      </w:r>
      <w:r w:rsidRPr="008268EB">
        <w:rPr>
          <w:rFonts w:ascii="Segoe UI" w:hAnsi="Segoe UI" w:cs="Segoe UI"/>
        </w:rPr>
        <w:fldChar w:fldCharType="end"/>
      </w:r>
      <w:r w:rsidRPr="008268EB">
        <w:rPr>
          <w:rFonts w:ascii="Segoe UI" w:hAnsi="Segoe UI" w:cs="Segoe UI"/>
        </w:rPr>
        <w:t xml:space="preserve">. </w:t>
      </w:r>
    </w:p>
    <w:p w:rsidR="008268EB" w:rsidRPr="008268EB" w:rsidRDefault="008268EB" w:rsidP="008268EB">
      <w:pPr>
        <w:jc w:val="both"/>
        <w:rPr>
          <w:rFonts w:ascii="Segoe UI" w:hAnsi="Segoe UI" w:cs="Segoe UI"/>
        </w:rPr>
      </w:pP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before="360" w:after="240" w:line="440" w:lineRule="atLeast"/>
        <w:outlineLvl w:val="1"/>
        <w:rPr>
          <w:rFonts w:ascii="Segoe UI" w:hAnsi="Segoe UI" w:cs="Segoe UI"/>
          <w:b/>
          <w:color w:val="0074A1"/>
          <w:sz w:val="32"/>
          <w:szCs w:val="32"/>
        </w:rPr>
      </w:pPr>
      <w:bookmarkStart w:id="27" w:name="_Toc11768291"/>
      <w:bookmarkStart w:id="28" w:name="_Toc30491975"/>
      <w:bookmarkStart w:id="29" w:name="_Toc33002072"/>
      <w:r w:rsidRPr="008268EB">
        <w:rPr>
          <w:rFonts w:ascii="Segoe UI" w:hAnsi="Segoe UI" w:cs="Segoe UI"/>
          <w:b/>
          <w:color w:val="0074A1"/>
          <w:sz w:val="32"/>
          <w:szCs w:val="32"/>
        </w:rPr>
        <w:t>Wilderness values</w:t>
      </w:r>
      <w:bookmarkEnd w:id="27"/>
      <w:bookmarkEnd w:id="28"/>
      <w:bookmarkEnd w:id="29"/>
    </w:p>
    <w:p w:rsidR="008268EB" w:rsidRPr="008268EB" w:rsidRDefault="008268EB" w:rsidP="008268EB">
      <w:pPr>
        <w:jc w:val="both"/>
        <w:rPr>
          <w:rFonts w:ascii="Segoe UI" w:hAnsi="Segoe UI" w:cs="Segoe UI"/>
        </w:rPr>
      </w:pPr>
      <w:r w:rsidRPr="008268EB">
        <w:rPr>
          <w:rFonts w:ascii="Segoe UI" w:hAnsi="Segoe UI" w:cs="Segoe UI"/>
        </w:rPr>
        <w:t>The NFPS/JANIS criteria defines wilderness as:</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Land that, together with its plant and animal communities, is in a state that has not been substantially modified by, and is remote from, the influences of European settlement …</w:t>
      </w:r>
      <w:r w:rsidRPr="008268EB">
        <w:rPr>
          <w:rFonts w:ascii="Segoe UI" w:hAnsi="Segoe UI" w:cs="Segoe UI"/>
          <w:sz w:val="20"/>
          <w:szCs w:val="16"/>
          <w:vertAlign w:val="superscript"/>
        </w:rPr>
        <w:footnoteReference w:id="3"/>
      </w:r>
    </w:p>
    <w:p w:rsidR="008268EB" w:rsidRPr="008268EB" w:rsidRDefault="008268EB" w:rsidP="008268EB">
      <w:pPr>
        <w:jc w:val="both"/>
        <w:rPr>
          <w:rFonts w:ascii="Segoe UI" w:hAnsi="Segoe UI" w:cs="Segoe UI"/>
        </w:rPr>
      </w:pPr>
      <w:r w:rsidRPr="008268EB">
        <w:rPr>
          <w:rFonts w:ascii="Segoe UI" w:hAnsi="Segoe UI" w:cs="Segoe UI"/>
        </w:rPr>
        <w:t>Delineated wilderness was determined for the CRA by a desktop analysis of datasets relating to landscape factors (remoteness, naturalness, size, etc.) that relate to the NFPS/JANIS wilderness definition. Delineated wilderness was the layer used to determine the JANIS reservation targets (90 per cent, or more if practicable) for wilderness in the development of the five Victorian RFAs.</w:t>
      </w:r>
    </w:p>
    <w:p w:rsidR="008268EB" w:rsidRPr="008268EB" w:rsidRDefault="008268EB" w:rsidP="008268EB">
      <w:pPr>
        <w:keepNext/>
        <w:spacing w:before="240" w:after="240" w:line="240" w:lineRule="auto"/>
        <w:outlineLvl w:val="2"/>
        <w:rPr>
          <w:rFonts w:ascii="Segoe UI" w:hAnsi="Segoe UI" w:cs="Segoe UI"/>
          <w:b/>
          <w:color w:val="000000"/>
          <w:sz w:val="24"/>
          <w:szCs w:val="24"/>
        </w:rPr>
      </w:pPr>
      <w:bookmarkStart w:id="30" w:name="_Toc30491976"/>
      <w:bookmarkStart w:id="31" w:name="_Toc33002073"/>
      <w:r w:rsidRPr="008268EB">
        <w:rPr>
          <w:rFonts w:ascii="Segoe UI" w:hAnsi="Segoe UI" w:cs="Segoe UI"/>
          <w:b/>
          <w:color w:val="000000"/>
          <w:sz w:val="24"/>
          <w:szCs w:val="24"/>
        </w:rPr>
        <w:t>National Parks Act 1975</w:t>
      </w:r>
      <w:bookmarkEnd w:id="30"/>
      <w:bookmarkEnd w:id="31"/>
      <w:r w:rsidRPr="008268EB">
        <w:rPr>
          <w:rFonts w:ascii="Segoe UI" w:hAnsi="Segoe UI" w:cs="Segoe UI"/>
          <w:b/>
          <w:color w:val="000000"/>
          <w:sz w:val="24"/>
          <w:szCs w:val="24"/>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The </w:t>
      </w:r>
      <w:bookmarkStart w:id="32" w:name="_Hlk14259219"/>
      <w:r w:rsidRPr="008268EB">
        <w:rPr>
          <w:rFonts w:ascii="Segoe UI" w:hAnsi="Segoe UI" w:cs="Segoe UI"/>
          <w:i/>
        </w:rPr>
        <w:t xml:space="preserve">National Parks Act </w:t>
      </w:r>
      <w:bookmarkEnd w:id="32"/>
      <w:r w:rsidRPr="008268EB">
        <w:rPr>
          <w:rFonts w:ascii="Segoe UI" w:hAnsi="Segoe UI" w:cs="Segoe UI"/>
          <w:i/>
        </w:rPr>
        <w:t xml:space="preserve">1975 </w:t>
      </w:r>
      <w:r w:rsidRPr="008268EB">
        <w:rPr>
          <w:rFonts w:ascii="Segoe UI" w:hAnsi="Segoe UI" w:cs="Segoe UI"/>
        </w:rPr>
        <w:t>(Vic) provides for the establishment, amendment and protection of wilderness areas within Victoria. It does this through creating wilderness parks or wilderness zones within national parks and subsequently adding to or reducing the extent of these areas. Wilderness parks are large areas with landforms and native plant and animal communities relatively unaltered or unaffected by the influence of the European settlement of Australia. The Act excludes development, commercial activity, use of motorised transport and hunting from wilderness parks and wilderness zones. It ensures that they are managed in a way that enhances their status as wilderness.</w:t>
      </w:r>
    </w:p>
    <w:p w:rsidR="008268EB" w:rsidRPr="008268EB" w:rsidRDefault="008268EB" w:rsidP="008268EB">
      <w:pPr>
        <w:jc w:val="both"/>
        <w:rPr>
          <w:rFonts w:ascii="Segoe UI" w:hAnsi="Segoe UI" w:cs="Segoe UI"/>
        </w:rPr>
      </w:pPr>
      <w:r w:rsidRPr="008268EB">
        <w:rPr>
          <w:rFonts w:ascii="Segoe UI" w:hAnsi="Segoe UI" w:cs="Segoe UI"/>
        </w:rPr>
        <w:t xml:space="preserve">Once an area is determined as a wilderness park, or where new areas are added to an existing wilderness park, a management plan must be developed which is consistent with the management provisions in the Act. Parks Victoria manages wilderness parks for conservation and self-reliant recreation. There are three wilderness parks in Victoria established by this Act: Avon Wilderness Park and </w:t>
      </w:r>
      <w:proofErr w:type="spellStart"/>
      <w:r w:rsidRPr="008268EB">
        <w:rPr>
          <w:rFonts w:ascii="Segoe UI" w:hAnsi="Segoe UI" w:cs="Segoe UI"/>
        </w:rPr>
        <w:t>Wabba</w:t>
      </w:r>
      <w:proofErr w:type="spellEnd"/>
      <w:r w:rsidRPr="008268EB">
        <w:rPr>
          <w:rFonts w:ascii="Segoe UI" w:hAnsi="Segoe UI" w:cs="Segoe UI"/>
        </w:rPr>
        <w:t xml:space="preserve"> Wilderness Park, which are forested and located within the Victorian RFA regions, and Big Desert Wilderness Park, which contains some areas of Mallee woodland forest but is not in an RFA region. </w:t>
      </w:r>
    </w:p>
    <w:p w:rsidR="008268EB" w:rsidRPr="008268EB" w:rsidRDefault="008268EB" w:rsidP="008268EB">
      <w:pPr>
        <w:jc w:val="both"/>
        <w:rPr>
          <w:rFonts w:ascii="Segoe UI" w:hAnsi="Segoe UI" w:cs="Segoe UI"/>
        </w:rPr>
      </w:pPr>
      <w:r w:rsidRPr="008268EB">
        <w:rPr>
          <w:rFonts w:ascii="Segoe UI" w:hAnsi="Segoe UI" w:cs="Segoe UI"/>
        </w:rPr>
        <w:t>In the 2013 amendment, the Act listed 19 wilderness zones in Victoria. There are 12 wilderness zones located within the Victorian RFA regions.</w:t>
      </w:r>
    </w:p>
    <w:p w:rsidR="008268EB" w:rsidRPr="008268EB" w:rsidRDefault="008268EB" w:rsidP="008268EB">
      <w:pPr>
        <w:keepNext/>
        <w:spacing w:before="240" w:after="240" w:line="240" w:lineRule="auto"/>
        <w:outlineLvl w:val="2"/>
        <w:rPr>
          <w:rFonts w:ascii="Segoe UI" w:hAnsi="Segoe UI" w:cs="Segoe UI"/>
          <w:b/>
          <w:color w:val="000000"/>
          <w:sz w:val="24"/>
          <w:szCs w:val="24"/>
        </w:rPr>
      </w:pPr>
      <w:bookmarkStart w:id="33" w:name="_Toc11768292"/>
      <w:bookmarkStart w:id="34" w:name="_Toc30491977"/>
      <w:bookmarkStart w:id="35" w:name="_Toc33002074"/>
      <w:r w:rsidRPr="008268EB">
        <w:rPr>
          <w:rFonts w:ascii="Segoe UI" w:hAnsi="Segoe UI" w:cs="Segoe UI"/>
          <w:b/>
          <w:color w:val="000000"/>
          <w:sz w:val="24"/>
          <w:szCs w:val="24"/>
        </w:rPr>
        <w:t>Wilderness extent and protection in Victorian RFA regions</w:t>
      </w:r>
      <w:bookmarkEnd w:id="33"/>
      <w:bookmarkEnd w:id="34"/>
      <w:bookmarkEnd w:id="35"/>
    </w:p>
    <w:p w:rsidR="008268EB" w:rsidRPr="008268EB" w:rsidRDefault="008268EB" w:rsidP="008268EB">
      <w:pPr>
        <w:jc w:val="both"/>
        <w:rPr>
          <w:rFonts w:ascii="Segoe UI" w:hAnsi="Segoe UI" w:cs="Segoe UI"/>
        </w:rPr>
      </w:pPr>
      <w:r w:rsidRPr="008268EB">
        <w:rPr>
          <w:rFonts w:ascii="Segoe UI" w:hAnsi="Segoe UI" w:cs="Segoe UI"/>
        </w:rPr>
        <w:t>An assessment of wilderness values was undertaken in 1996 as part of the CRA process in the regional context of the forests of eastern Victoria. This included Central Highlands, East Gippsland, Gippsland and North East RFA regions. In the eastern Victorian forests region, 95</w:t>
      </w:r>
      <w:r w:rsidRPr="008268EB">
        <w:rPr>
          <w:rFonts w:ascii="Segoe UI" w:hAnsi="Segoe UI" w:cs="Segoe UI"/>
          <w:szCs w:val="16"/>
        </w:rPr>
        <w:t xml:space="preserve"> per cent</w:t>
      </w:r>
      <w:r w:rsidRPr="008268EB">
        <w:rPr>
          <w:rFonts w:ascii="Segoe UI" w:hAnsi="Segoe UI" w:cs="Segoe UI"/>
        </w:rPr>
        <w:t xml:space="preserve"> of the total area delineated in 1996 as significant for high wilderness quality was protected in the reserve system. There were 18 wilderness areas identified in the forests of eastern Victoria as a result of this assessment (see </w:t>
      </w:r>
      <w:r w:rsidRPr="008268EB">
        <w:rPr>
          <w:rFonts w:ascii="Segoe UI" w:hAnsi="Segoe UI" w:cs="Segoe UI"/>
        </w:rPr>
        <w:fldChar w:fldCharType="begin"/>
      </w:r>
      <w:r w:rsidRPr="008268EB">
        <w:rPr>
          <w:rFonts w:ascii="Segoe UI" w:hAnsi="Segoe UI" w:cs="Segoe UI"/>
        </w:rPr>
        <w:instrText xml:space="preserve"> REF _Ref12524692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7</w:t>
      </w:r>
      <w:r w:rsidRPr="008268EB">
        <w:rPr>
          <w:rFonts w:ascii="Segoe UI" w:hAnsi="Segoe UI" w:cs="Segoe UI"/>
        </w:rPr>
        <w:fldChar w:fldCharType="end"/>
      </w:r>
      <w:r w:rsidRPr="008268EB">
        <w:rPr>
          <w:rFonts w:ascii="Segoe UI" w:hAnsi="Segoe UI" w:cs="Segoe UI"/>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The resulting report, </w:t>
      </w:r>
      <w:r w:rsidRPr="008268EB">
        <w:rPr>
          <w:rFonts w:ascii="Segoe UI" w:hAnsi="Segoe UI" w:cs="Segoe UI"/>
          <w:i/>
          <w:iCs/>
        </w:rPr>
        <w:t xml:space="preserve">Comprehensive regional assessment: wilderness of the eastern Victorian forests </w:t>
      </w:r>
      <w:r w:rsidRPr="008268EB">
        <w:rPr>
          <w:rFonts w:ascii="Segoe UI" w:hAnsi="Segoe UI" w:cs="Segoe UI"/>
        </w:rPr>
        <w:t>(Commonwealth &amp; Victorian Regional Forest Agreement Steering Committee 1996), analysed wilderness quality across the four CRA regions using data from the National Wilderness Inventory (NWI) (</w:t>
      </w:r>
      <w:proofErr w:type="spellStart"/>
      <w:r w:rsidRPr="008268EB">
        <w:rPr>
          <w:rFonts w:ascii="Segoe UI" w:hAnsi="Segoe UI" w:cs="Segoe UI"/>
        </w:rPr>
        <w:t>Lesslie</w:t>
      </w:r>
      <w:proofErr w:type="spellEnd"/>
      <w:r w:rsidRPr="008268EB">
        <w:rPr>
          <w:rFonts w:ascii="Segoe UI" w:hAnsi="Segoe UI" w:cs="Segoe UI"/>
        </w:rPr>
        <w:t xml:space="preserve"> &amp; Maslen 1995) and other sources. The NWI methodology measured the variation in wilderness quality across the landscape, producing a database of ‘wilderness quality’. This was achieved by using indicators that represented the two essential attributes of wilderness: remoteness and naturalness. The indicators were: </w:t>
      </w:r>
    </w:p>
    <w:p w:rsidR="008268EB" w:rsidRPr="00F30F0A" w:rsidRDefault="008268EB" w:rsidP="00F30F0A">
      <w:pPr>
        <w:pStyle w:val="ListParagraph"/>
        <w:numPr>
          <w:ilvl w:val="0"/>
          <w:numId w:val="49"/>
        </w:numPr>
        <w:ind w:left="709" w:hanging="425"/>
        <w:rPr>
          <w:b/>
          <w:bCs/>
        </w:rPr>
      </w:pPr>
      <w:r w:rsidRPr="00F30F0A">
        <w:rPr>
          <w:b/>
          <w:bCs/>
        </w:rPr>
        <w:t xml:space="preserve">Remoteness from Settlement </w:t>
      </w:r>
      <w:r w:rsidRPr="00F30F0A">
        <w:t>– remoteness from places of permanent occupation</w:t>
      </w:r>
    </w:p>
    <w:p w:rsidR="008268EB" w:rsidRPr="00F30F0A" w:rsidRDefault="008268EB" w:rsidP="00F30F0A">
      <w:pPr>
        <w:pStyle w:val="ListParagraph"/>
        <w:numPr>
          <w:ilvl w:val="0"/>
          <w:numId w:val="49"/>
        </w:numPr>
        <w:ind w:left="709" w:hanging="425"/>
        <w:rPr>
          <w:b/>
          <w:bCs/>
        </w:rPr>
      </w:pPr>
      <w:r w:rsidRPr="00F30F0A">
        <w:rPr>
          <w:b/>
          <w:bCs/>
        </w:rPr>
        <w:t xml:space="preserve">Remoteness from Access </w:t>
      </w:r>
      <w:r w:rsidRPr="00F30F0A">
        <w:t>– remoteness from established access routes</w:t>
      </w:r>
    </w:p>
    <w:p w:rsidR="008268EB" w:rsidRPr="00F30F0A" w:rsidRDefault="008268EB" w:rsidP="00F30F0A">
      <w:pPr>
        <w:pStyle w:val="ListParagraph"/>
        <w:numPr>
          <w:ilvl w:val="0"/>
          <w:numId w:val="49"/>
        </w:numPr>
        <w:spacing w:before="240"/>
        <w:ind w:left="709" w:hanging="425"/>
        <w:rPr>
          <w:b/>
          <w:bCs/>
        </w:rPr>
      </w:pPr>
      <w:r w:rsidRPr="00F30F0A">
        <w:rPr>
          <w:b/>
          <w:bCs/>
        </w:rPr>
        <w:t xml:space="preserve">Apparent Naturalness </w:t>
      </w:r>
      <w:r w:rsidRPr="00F30F0A">
        <w:t xml:space="preserve">– the degree to which the landscape is free from the presence of permanent structures associated with modern technological society </w:t>
      </w:r>
    </w:p>
    <w:p w:rsidR="008268EB" w:rsidRPr="00F30F0A" w:rsidRDefault="008268EB" w:rsidP="00F30F0A">
      <w:pPr>
        <w:pStyle w:val="ListParagraph"/>
        <w:numPr>
          <w:ilvl w:val="0"/>
          <w:numId w:val="49"/>
        </w:numPr>
        <w:ind w:left="709" w:hanging="425"/>
        <w:rPr>
          <w:b/>
          <w:bCs/>
        </w:rPr>
      </w:pPr>
      <w:r w:rsidRPr="00F30F0A">
        <w:rPr>
          <w:b/>
          <w:bCs/>
        </w:rPr>
        <w:t xml:space="preserve">Biophysical Naturalness </w:t>
      </w:r>
      <w:r w:rsidRPr="00F30F0A">
        <w:t>–</w:t>
      </w:r>
      <w:r w:rsidRPr="00F30F0A">
        <w:rPr>
          <w:b/>
          <w:bCs/>
        </w:rPr>
        <w:t xml:space="preserve"> </w:t>
      </w:r>
      <w:r w:rsidRPr="00F30F0A">
        <w:t xml:space="preserve">the degree to which the natural environment is free from biophysical disturbance caused by the influence of modern technological society. </w:t>
      </w:r>
    </w:p>
    <w:p w:rsidR="008268EB" w:rsidRPr="008268EB" w:rsidRDefault="008268EB" w:rsidP="008268EB">
      <w:pPr>
        <w:jc w:val="both"/>
        <w:rPr>
          <w:rFonts w:ascii="Segoe UI" w:hAnsi="Segoe UI" w:cs="Segoe UI"/>
        </w:rPr>
      </w:pPr>
      <w:r w:rsidRPr="008268EB">
        <w:rPr>
          <w:rFonts w:ascii="Segoe UI" w:hAnsi="Segoe UI" w:cs="Segoe UI"/>
        </w:rPr>
        <w:t xml:space="preserve">Wilderness areas are most commonly defined as being areas of high wilderness quality (12 and above) occupying at least 8,000 hectares. Boundaries were delineated around areas that satisfied these criteria. Wherever possible, the boundaries which were adopted followed catchment divides or other topographic features. Where such features did not prove suitable, boundaries were drawn that reflected the influence of nearby features affecting wilderness quality, such as roads. </w:t>
      </w:r>
    </w:p>
    <w:p w:rsidR="008268EB" w:rsidRPr="008268EB" w:rsidRDefault="008268EB" w:rsidP="008268EB">
      <w:pPr>
        <w:jc w:val="both"/>
        <w:rPr>
          <w:rFonts w:ascii="Segoe UI" w:hAnsi="Segoe UI" w:cs="Segoe UI"/>
        </w:rPr>
      </w:pPr>
      <w:r w:rsidRPr="008268EB">
        <w:rPr>
          <w:rFonts w:ascii="Segoe UI" w:hAnsi="Segoe UI" w:cs="Segoe UI"/>
        </w:rPr>
        <w:t>The distance-related indicators (settlement, access and apparent naturalness) were Australian Surveying and Land Information Group (AUSLIG) digital mapping data updates with additional information in the detailed study areas (Gippsland CRA Report 1999). The disturbance information that provides the base data for the biophysical naturalness indicator was of variable quality and lineage across the RFAs.</w:t>
      </w:r>
    </w:p>
    <w:p w:rsidR="008268EB" w:rsidRPr="008268EB" w:rsidRDefault="008268EB" w:rsidP="008268EB">
      <w:pPr>
        <w:jc w:val="both"/>
        <w:rPr>
          <w:rFonts w:ascii="Segoe UI" w:hAnsi="Segoe UI" w:cs="Segoe UI"/>
        </w:rPr>
      </w:pPr>
      <w:r w:rsidRPr="008268EB">
        <w:rPr>
          <w:rFonts w:ascii="Segoe UI" w:hAnsi="Segoe UI" w:cs="Segoe UI"/>
        </w:rPr>
        <w:fldChar w:fldCharType="begin"/>
      </w:r>
      <w:r w:rsidRPr="008268EB">
        <w:rPr>
          <w:rFonts w:ascii="Segoe UI" w:hAnsi="Segoe UI" w:cs="Segoe UI"/>
        </w:rPr>
        <w:instrText xml:space="preserve"> REF _Ref14772577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8</w:t>
      </w:r>
      <w:r w:rsidRPr="008268EB">
        <w:rPr>
          <w:rFonts w:ascii="Segoe UI" w:hAnsi="Segoe UI" w:cs="Segoe UI"/>
        </w:rPr>
        <w:fldChar w:fldCharType="end"/>
      </w:r>
      <w:r w:rsidRPr="008268EB">
        <w:rPr>
          <w:rFonts w:ascii="Segoe UI" w:hAnsi="Segoe UI" w:cs="Segoe UI"/>
        </w:rPr>
        <w:t xml:space="preserve"> compares the high-value wilderness areas defined by the CRA, with the current tenure and status.</w:t>
      </w: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36" w:name="_Ref12524692"/>
      <w:bookmarkStart w:id="37" w:name="_Toc25660791"/>
      <w:bookmarkStart w:id="38" w:name="_Hlk14424924"/>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7</w:t>
      </w:r>
      <w:r w:rsidRPr="008268EB">
        <w:rPr>
          <w:rFonts w:ascii="Segoe UI Semibold" w:eastAsia="Times New Roman" w:hAnsi="Segoe UI Semibold" w:cs="Times New Roman"/>
          <w:noProof/>
          <w:color w:val="016295"/>
        </w:rPr>
        <w:fldChar w:fldCharType="end"/>
      </w:r>
      <w:bookmarkEnd w:id="36"/>
      <w:r w:rsidRPr="008268EB">
        <w:rPr>
          <w:rFonts w:ascii="Segoe UI Semibold" w:eastAsia="Times New Roman" w:hAnsi="Segoe UI Semibold" w:cs="Times New Roman"/>
          <w:color w:val="016295"/>
        </w:rPr>
        <w:t>: Summary of protection of areas of high wilderness quality within the eastern Victorian forests (1996 – 1999 CRA)</w:t>
      </w:r>
      <w:bookmarkEnd w:id="37"/>
    </w:p>
    <w:tbl>
      <w:tblPr>
        <w:tblW w:w="9010" w:type="dxa"/>
        <w:tblLayout w:type="fixed"/>
        <w:tblCellMar>
          <w:top w:w="57" w:type="dxa"/>
          <w:bottom w:w="57" w:type="dxa"/>
        </w:tblCellMar>
        <w:tblLook w:val="04A0" w:firstRow="1" w:lastRow="0" w:firstColumn="1" w:lastColumn="0" w:noHBand="0" w:noVBand="1"/>
      </w:tblPr>
      <w:tblGrid>
        <w:gridCol w:w="1665"/>
        <w:gridCol w:w="2486"/>
        <w:gridCol w:w="1755"/>
        <w:gridCol w:w="1552"/>
        <w:gridCol w:w="1552"/>
      </w:tblGrid>
      <w:tr w:rsidR="008268EB" w:rsidRPr="008268EB" w:rsidTr="007F17A0">
        <w:trPr>
          <w:trHeight w:val="340"/>
        </w:trPr>
        <w:tc>
          <w:tcPr>
            <w:tcW w:w="1665" w:type="dxa"/>
            <w:tcBorders>
              <w:bottom w:val="single" w:sz="8" w:space="0" w:color="auto"/>
            </w:tcBorders>
            <w:shd w:val="clear" w:color="auto" w:fill="E2EFD9" w:themeFill="accent6" w:themeFillTint="33"/>
            <w:noWrap/>
            <w:vAlign w:val="bottom"/>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RFA</w:t>
            </w:r>
          </w:p>
        </w:tc>
        <w:tc>
          <w:tcPr>
            <w:tcW w:w="2486" w:type="dxa"/>
            <w:tcBorders>
              <w:bottom w:val="single" w:sz="8" w:space="0" w:color="auto"/>
            </w:tcBorders>
            <w:shd w:val="clear" w:color="auto" w:fill="E2EFD9" w:themeFill="accent6" w:themeFillTint="33"/>
            <w:noWrap/>
            <w:vAlign w:val="bottom"/>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Area</w:t>
            </w:r>
          </w:p>
        </w:tc>
        <w:tc>
          <w:tcPr>
            <w:tcW w:w="1755" w:type="dxa"/>
            <w:tcBorders>
              <w:bottom w:val="single" w:sz="8" w:space="0" w:color="auto"/>
            </w:tcBorders>
            <w:shd w:val="clear" w:color="auto" w:fill="E2EFD9" w:themeFill="accent6" w:themeFillTint="33"/>
            <w:noWrap/>
            <w:vAlign w:val="bottom"/>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Size </w:t>
            </w:r>
          </w:p>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552" w:type="dxa"/>
            <w:tcBorders>
              <w:bottom w:val="single" w:sz="8" w:space="0" w:color="auto"/>
            </w:tcBorders>
            <w:shd w:val="clear" w:color="auto" w:fill="E2EFD9" w:themeFill="accent6" w:themeFillTint="33"/>
            <w:noWrap/>
            <w:vAlign w:val="bottom"/>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Reserved </w:t>
            </w:r>
          </w:p>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(Ha)</w:t>
            </w:r>
          </w:p>
        </w:tc>
        <w:tc>
          <w:tcPr>
            <w:tcW w:w="1552" w:type="dxa"/>
            <w:tcBorders>
              <w:bottom w:val="single" w:sz="8" w:space="0" w:color="auto"/>
            </w:tcBorders>
            <w:shd w:val="clear" w:color="auto" w:fill="E2EFD9" w:themeFill="accent6" w:themeFillTint="33"/>
            <w:noWrap/>
            <w:vAlign w:val="bottom"/>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Proportion reserved</w:t>
            </w:r>
          </w:p>
        </w:tc>
      </w:tr>
      <w:tr w:rsidR="008268EB" w:rsidRPr="008268EB" w:rsidTr="007F17A0">
        <w:trPr>
          <w:trHeight w:val="340"/>
        </w:trPr>
        <w:tc>
          <w:tcPr>
            <w:tcW w:w="1665"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2486"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Buchan</w:t>
            </w:r>
          </w:p>
        </w:tc>
        <w:tc>
          <w:tcPr>
            <w:tcW w:w="1755"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12,580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12,580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Cape Howe</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7,120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7,120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Coopracambra</w:t>
            </w:r>
            <w:proofErr w:type="spellEnd"/>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28,050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25,460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91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Petrel</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10,960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10,960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Sand Patch</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28,540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17,150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60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Snowy</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54,560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54,560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Tamboon</w:t>
            </w:r>
            <w:proofErr w:type="spellEnd"/>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5,000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5,000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Tingaringy</w:t>
            </w:r>
            <w:proofErr w:type="spellEnd"/>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25,250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25,060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99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Upper-</w:t>
            </w:r>
            <w:proofErr w:type="spellStart"/>
            <w:r w:rsidRPr="008268EB">
              <w:rPr>
                <w:rFonts w:ascii="Segoe UI" w:eastAsia="Calibri" w:hAnsi="Segoe UI" w:cs="Calibri"/>
                <w:sz w:val="19"/>
                <w:szCs w:val="19"/>
                <w:lang w:eastAsia="en-AU"/>
              </w:rPr>
              <w:t>Brodribb</w:t>
            </w:r>
            <w:proofErr w:type="spellEnd"/>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5,310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4,850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91 per cent</w:t>
            </w:r>
          </w:p>
        </w:tc>
      </w:tr>
      <w:tr w:rsidR="008268EB" w:rsidRPr="008268EB" w:rsidTr="007F17A0">
        <w:trPr>
          <w:trHeight w:val="340"/>
        </w:trPr>
        <w:tc>
          <w:tcPr>
            <w:tcW w:w="4151" w:type="dxa"/>
            <w:gridSpan w:val="2"/>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i/>
                <w:sz w:val="19"/>
                <w:szCs w:val="19"/>
                <w:lang w:eastAsia="en-AU"/>
              </w:rPr>
            </w:pPr>
            <w:r w:rsidRPr="008268EB">
              <w:rPr>
                <w:rFonts w:ascii="Segoe UI" w:eastAsia="Calibri" w:hAnsi="Segoe UI" w:cs="Calibri"/>
                <w:i/>
                <w:sz w:val="19"/>
                <w:szCs w:val="19"/>
                <w:lang w:eastAsia="en-AU"/>
              </w:rPr>
              <w:t>Total East Gippsland</w:t>
            </w:r>
          </w:p>
        </w:tc>
        <w:tc>
          <w:tcPr>
            <w:tcW w:w="1755"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177,370</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162,740</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92 per cent</w:t>
            </w:r>
          </w:p>
        </w:tc>
      </w:tr>
      <w:tr w:rsidR="008268EB" w:rsidRPr="008268EB" w:rsidTr="007F17A0">
        <w:trPr>
          <w:trHeight w:val="340"/>
        </w:trPr>
        <w:tc>
          <w:tcPr>
            <w:tcW w:w="1665"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2486"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Avon</w:t>
            </w:r>
          </w:p>
        </w:tc>
        <w:tc>
          <w:tcPr>
            <w:tcW w:w="1755"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39,650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39,650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Indi Addition to Pilot and Davies Plain</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24,300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24,300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Mt Darling/Snowy Bluff</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40,400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40,400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Wilsons Promontory</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33,228</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33,228</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i/>
                <w:sz w:val="19"/>
                <w:szCs w:val="19"/>
                <w:lang w:eastAsia="en-AU"/>
              </w:rPr>
            </w:pPr>
            <w:r w:rsidRPr="008268EB">
              <w:rPr>
                <w:rFonts w:ascii="Segoe UI" w:eastAsia="Calibri" w:hAnsi="Segoe UI" w:cs="Calibri"/>
                <w:i/>
                <w:sz w:val="19"/>
                <w:szCs w:val="19"/>
                <w:lang w:eastAsia="en-AU"/>
              </w:rPr>
              <w:t>Total Gippsland</w:t>
            </w:r>
          </w:p>
        </w:tc>
        <w:tc>
          <w:tcPr>
            <w:tcW w:w="2486"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i/>
                <w:sz w:val="19"/>
                <w:szCs w:val="19"/>
                <w:lang w:eastAsia="en-AU"/>
              </w:rPr>
            </w:pPr>
          </w:p>
        </w:tc>
        <w:tc>
          <w:tcPr>
            <w:tcW w:w="1755"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137,578</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137,578</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100 per cent</w:t>
            </w:r>
          </w:p>
        </w:tc>
      </w:tr>
      <w:tr w:rsidR="008268EB" w:rsidRPr="008268EB" w:rsidTr="007F17A0">
        <w:trPr>
          <w:trHeight w:val="340"/>
        </w:trPr>
        <w:tc>
          <w:tcPr>
            <w:tcW w:w="1665"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Gippsland/North East</w:t>
            </w:r>
          </w:p>
        </w:tc>
        <w:tc>
          <w:tcPr>
            <w:tcW w:w="2486"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Macalister</w:t>
            </w:r>
          </w:p>
        </w:tc>
        <w:tc>
          <w:tcPr>
            <w:tcW w:w="1755"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33,300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33,300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Razor/Viking</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15,700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15,700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4151" w:type="dxa"/>
            <w:gridSpan w:val="2"/>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i/>
                <w:sz w:val="19"/>
                <w:szCs w:val="19"/>
                <w:lang w:eastAsia="en-AU"/>
              </w:rPr>
            </w:pPr>
            <w:r w:rsidRPr="008268EB">
              <w:rPr>
                <w:rFonts w:ascii="Segoe UI" w:eastAsia="Calibri" w:hAnsi="Segoe UI" w:cs="Calibri"/>
                <w:i/>
                <w:sz w:val="19"/>
                <w:szCs w:val="19"/>
                <w:lang w:eastAsia="en-AU"/>
              </w:rPr>
              <w:t>Total Gippsland/North East</w:t>
            </w:r>
          </w:p>
        </w:tc>
        <w:tc>
          <w:tcPr>
            <w:tcW w:w="1755"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49,000</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49,000</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100 per cent</w:t>
            </w:r>
          </w:p>
        </w:tc>
      </w:tr>
      <w:tr w:rsidR="008268EB" w:rsidRPr="008268EB" w:rsidTr="007F17A0">
        <w:trPr>
          <w:trHeight w:val="340"/>
        </w:trPr>
        <w:tc>
          <w:tcPr>
            <w:tcW w:w="1665"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2486"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Dartmouth</w:t>
            </w:r>
          </w:p>
        </w:tc>
        <w:tc>
          <w:tcPr>
            <w:tcW w:w="1755"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26,950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20,370</w:t>
            </w:r>
          </w:p>
        </w:tc>
        <w:tc>
          <w:tcPr>
            <w:tcW w:w="1552" w:type="dxa"/>
            <w:tcBorders>
              <w:top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76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Wabba</w:t>
            </w:r>
            <w:proofErr w:type="spellEnd"/>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19,700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19,700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1665"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2486"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Yarrarabulla</w:t>
            </w:r>
            <w:proofErr w:type="spellEnd"/>
            <w:r w:rsidRPr="008268EB">
              <w:rPr>
                <w:rFonts w:ascii="Segoe UI" w:eastAsia="Calibri" w:hAnsi="Segoe UI" w:cs="Calibri"/>
                <w:sz w:val="19"/>
                <w:szCs w:val="19"/>
                <w:lang w:eastAsia="en-AU"/>
              </w:rPr>
              <w:t xml:space="preserve"> Creek</w:t>
            </w:r>
          </w:p>
        </w:tc>
        <w:tc>
          <w:tcPr>
            <w:tcW w:w="1755"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13,000</w:t>
            </w:r>
          </w:p>
        </w:tc>
        <w:tc>
          <w:tcPr>
            <w:tcW w:w="1552"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100 per cent</w:t>
            </w:r>
          </w:p>
        </w:tc>
      </w:tr>
      <w:tr w:rsidR="008268EB" w:rsidRPr="008268EB" w:rsidTr="007F17A0">
        <w:trPr>
          <w:trHeight w:val="340"/>
        </w:trPr>
        <w:tc>
          <w:tcPr>
            <w:tcW w:w="4151" w:type="dxa"/>
            <w:gridSpan w:val="2"/>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i/>
                <w:sz w:val="19"/>
                <w:szCs w:val="19"/>
                <w:lang w:eastAsia="en-AU"/>
              </w:rPr>
            </w:pPr>
            <w:r w:rsidRPr="008268EB">
              <w:rPr>
                <w:rFonts w:ascii="Segoe UI" w:eastAsia="Calibri" w:hAnsi="Segoe UI" w:cs="Calibri"/>
                <w:i/>
                <w:sz w:val="19"/>
                <w:szCs w:val="19"/>
                <w:lang w:eastAsia="en-AU"/>
              </w:rPr>
              <w:t xml:space="preserve">Total North East </w:t>
            </w:r>
          </w:p>
        </w:tc>
        <w:tc>
          <w:tcPr>
            <w:tcW w:w="1755"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59,650</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53,070</w:t>
            </w:r>
          </w:p>
        </w:tc>
        <w:tc>
          <w:tcPr>
            <w:tcW w:w="1552"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i/>
                <w:color w:val="000000"/>
                <w:sz w:val="19"/>
                <w:szCs w:val="19"/>
                <w:lang w:eastAsia="en-AU"/>
              </w:rPr>
            </w:pPr>
            <w:r w:rsidRPr="008268EB">
              <w:rPr>
                <w:rFonts w:ascii="Segoe UI" w:eastAsia="Calibri" w:hAnsi="Segoe UI" w:cs="Calibri"/>
                <w:i/>
                <w:color w:val="000000"/>
                <w:sz w:val="19"/>
                <w:szCs w:val="19"/>
                <w:lang w:eastAsia="en-AU"/>
              </w:rPr>
              <w:t>89 per cent</w:t>
            </w:r>
          </w:p>
        </w:tc>
      </w:tr>
      <w:tr w:rsidR="008268EB" w:rsidRPr="008268EB" w:rsidTr="007F17A0">
        <w:trPr>
          <w:trHeight w:val="340"/>
        </w:trPr>
        <w:tc>
          <w:tcPr>
            <w:tcW w:w="4151" w:type="dxa"/>
            <w:gridSpan w:val="2"/>
            <w:tcBorders>
              <w:top w:val="single" w:sz="8" w:space="0" w:color="auto"/>
              <w:bottom w:val="single" w:sz="8" w:space="0" w:color="auto"/>
            </w:tcBorders>
            <w:noWrap/>
            <w:hideMark/>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b/>
                <w:sz w:val="19"/>
                <w:szCs w:val="19"/>
                <w:lang w:eastAsia="en-AU"/>
              </w:rPr>
              <w:t>Total all RFA regions</w:t>
            </w:r>
          </w:p>
        </w:tc>
        <w:tc>
          <w:tcPr>
            <w:tcW w:w="1755" w:type="dxa"/>
            <w:tcBorders>
              <w:top w:val="single" w:sz="8" w:space="0" w:color="auto"/>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423,598</w:t>
            </w:r>
          </w:p>
        </w:tc>
        <w:tc>
          <w:tcPr>
            <w:tcW w:w="1552" w:type="dxa"/>
            <w:tcBorders>
              <w:top w:val="single" w:sz="8" w:space="0" w:color="auto"/>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402,388</w:t>
            </w:r>
          </w:p>
        </w:tc>
        <w:tc>
          <w:tcPr>
            <w:tcW w:w="1552" w:type="dxa"/>
            <w:tcBorders>
              <w:top w:val="single" w:sz="8" w:space="0" w:color="auto"/>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95 per cent</w:t>
            </w:r>
          </w:p>
        </w:tc>
      </w:tr>
    </w:tbl>
    <w:p w:rsidR="008268EB" w:rsidRPr="008268EB" w:rsidRDefault="008268EB" w:rsidP="008268EB">
      <w:pPr>
        <w:spacing w:before="80"/>
        <w:rPr>
          <w:rFonts w:ascii="Segoe UI" w:eastAsia="STZhongsong" w:hAnsi="Segoe UI" w:cs="Segoe UI"/>
          <w:bCs/>
          <w:sz w:val="18"/>
          <w:szCs w:val="18"/>
          <w:lang w:eastAsia="ko-KR"/>
        </w:rPr>
      </w:pPr>
      <w:bookmarkStart w:id="39" w:name="_Hlk14431567"/>
      <w:bookmarkEnd w:id="38"/>
      <w:r w:rsidRPr="008268EB">
        <w:rPr>
          <w:rFonts w:ascii="Segoe UI" w:eastAsia="STZhongsong" w:hAnsi="Segoe UI" w:cs="Segoe UI"/>
          <w:bCs/>
          <w:sz w:val="18"/>
          <w:szCs w:val="18"/>
          <w:lang w:eastAsia="ko-KR"/>
        </w:rPr>
        <w:t>Source: Data derived from the CRAs accessed via the Australian Bureau of Agricultural and Resource Economics and Sciences (ABARES) website (</w:t>
      </w:r>
      <w:proofErr w:type="spellStart"/>
      <w:r w:rsidRPr="008268EB">
        <w:rPr>
          <w:rFonts w:ascii="Segoe UI" w:eastAsia="STZhongsong" w:hAnsi="Segoe UI" w:cs="Segoe UI"/>
          <w:bCs/>
          <w:sz w:val="18"/>
          <w:szCs w:val="18"/>
          <w:lang w:eastAsia="ko-KR"/>
        </w:rPr>
        <w:t>VicRFASC</w:t>
      </w:r>
      <w:proofErr w:type="spellEnd"/>
      <w:r w:rsidRPr="008268EB">
        <w:rPr>
          <w:rFonts w:ascii="Segoe UI" w:eastAsia="STZhongsong" w:hAnsi="Segoe UI" w:cs="Segoe UI"/>
          <w:bCs/>
          <w:sz w:val="18"/>
          <w:szCs w:val="18"/>
          <w:lang w:eastAsia="ko-KR"/>
        </w:rPr>
        <w:t xml:space="preserve"> </w:t>
      </w:r>
      <w:bookmarkEnd w:id="39"/>
      <w:r w:rsidRPr="008268EB">
        <w:rPr>
          <w:rFonts w:ascii="Segoe UI" w:eastAsia="STZhongsong" w:hAnsi="Segoe UI" w:cs="Segoe UI"/>
          <w:bCs/>
          <w:sz w:val="18"/>
          <w:szCs w:val="18"/>
          <w:lang w:eastAsia="ko-KR"/>
        </w:rPr>
        <w:t>(1996))</w:t>
      </w:r>
    </w:p>
    <w:p w:rsidR="008268EB" w:rsidRPr="008268EB" w:rsidRDefault="008268EB" w:rsidP="008268EB">
      <w:pPr>
        <w:rPr>
          <w:rFonts w:ascii="Segoe UI" w:eastAsia="STZhongsong" w:hAnsi="Segoe UI" w:cs="Segoe UI"/>
          <w:bCs/>
          <w:sz w:val="18"/>
          <w:szCs w:val="18"/>
          <w:lang w:eastAsia="ko-KR"/>
        </w:rPr>
      </w:pPr>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40" w:name="_Ref14772577"/>
      <w:bookmarkStart w:id="41" w:name="_Toc25660792"/>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8</w:t>
      </w:r>
      <w:r w:rsidRPr="008268EB">
        <w:rPr>
          <w:rFonts w:ascii="Segoe UI Semibold" w:eastAsia="Times New Roman" w:hAnsi="Segoe UI Semibold" w:cs="Times New Roman"/>
          <w:noProof/>
          <w:color w:val="016295"/>
        </w:rPr>
        <w:fldChar w:fldCharType="end"/>
      </w:r>
      <w:bookmarkEnd w:id="40"/>
      <w:r w:rsidRPr="008268EB">
        <w:rPr>
          <w:rFonts w:ascii="Segoe UI Semibold" w:eastAsia="Times New Roman" w:hAnsi="Segoe UI Semibold" w:cs="Times New Roman"/>
          <w:color w:val="016295"/>
        </w:rPr>
        <w:t>: Comparison of protection of areas of high wilderness quality within the eastern Victorian forests (1996 – 1999 CRA) with wilderness zones and parks</w:t>
      </w:r>
      <w:bookmarkEnd w:id="41"/>
    </w:p>
    <w:tbl>
      <w:tblPr>
        <w:tblW w:w="9072" w:type="dxa"/>
        <w:tblLayout w:type="fixed"/>
        <w:tblCellMar>
          <w:top w:w="85" w:type="dxa"/>
          <w:bottom w:w="85" w:type="dxa"/>
        </w:tblCellMar>
        <w:tblLook w:val="04A0" w:firstRow="1" w:lastRow="0" w:firstColumn="1" w:lastColumn="0" w:noHBand="0" w:noVBand="1"/>
      </w:tblPr>
      <w:tblGrid>
        <w:gridCol w:w="2278"/>
        <w:gridCol w:w="3397"/>
        <w:gridCol w:w="3397"/>
      </w:tblGrid>
      <w:tr w:rsidR="008268EB" w:rsidRPr="008268EB" w:rsidTr="007F17A0">
        <w:trPr>
          <w:trHeight w:val="340"/>
        </w:trPr>
        <w:tc>
          <w:tcPr>
            <w:tcW w:w="2278" w:type="dxa"/>
            <w:tcBorders>
              <w:bottom w:val="single" w:sz="8" w:space="0" w:color="auto"/>
            </w:tcBorders>
            <w:shd w:val="clear" w:color="auto" w:fill="E2EFD9" w:themeFill="accent6" w:themeFillTint="33"/>
            <w:noWrap/>
            <w:vAlign w:val="bottom"/>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RFA</w:t>
            </w:r>
          </w:p>
        </w:tc>
        <w:tc>
          <w:tcPr>
            <w:tcW w:w="3397" w:type="dxa"/>
            <w:tcBorders>
              <w:bottom w:val="single" w:sz="8" w:space="0" w:color="auto"/>
            </w:tcBorders>
            <w:shd w:val="clear" w:color="auto" w:fill="E2EFD9" w:themeFill="accent6" w:themeFillTint="33"/>
            <w:noWrap/>
            <w:vAlign w:val="bottom"/>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CRA area</w:t>
            </w:r>
          </w:p>
        </w:tc>
        <w:tc>
          <w:tcPr>
            <w:tcW w:w="3397" w:type="dxa"/>
            <w:tcBorders>
              <w:bottom w:val="single" w:sz="8" w:space="0" w:color="auto"/>
            </w:tcBorders>
            <w:shd w:val="clear" w:color="auto" w:fill="E2EFD9" w:themeFill="accent6" w:themeFillTint="33"/>
            <w:noWrap/>
            <w:vAlign w:val="bottom"/>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Current status</w:t>
            </w:r>
            <w:r w:rsidRPr="008268EB">
              <w:rPr>
                <w:rFonts w:ascii="Segoe UI" w:eastAsia="Calibri" w:hAnsi="Segoe UI" w:cs="Calibri"/>
                <w:position w:val="8"/>
                <w:sz w:val="19"/>
                <w:szCs w:val="19"/>
                <w:lang w:eastAsia="en-AU"/>
              </w:rPr>
              <w:t>a</w:t>
            </w:r>
            <w:r w:rsidRPr="008268EB">
              <w:rPr>
                <w:rFonts w:ascii="Segoe UI" w:eastAsia="Calibri" w:hAnsi="Segoe UI" w:cs="Calibri"/>
                <w:sz w:val="19"/>
                <w:szCs w:val="19"/>
                <w:lang w:eastAsia="en-AU"/>
              </w:rPr>
              <w:t xml:space="preserve"> </w:t>
            </w:r>
          </w:p>
        </w:tc>
      </w:tr>
      <w:tr w:rsidR="008268EB" w:rsidRPr="008268EB" w:rsidTr="007F17A0">
        <w:trPr>
          <w:trHeight w:val="340"/>
        </w:trPr>
        <w:tc>
          <w:tcPr>
            <w:tcW w:w="227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3397"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Buchan</w:t>
            </w:r>
          </w:p>
        </w:tc>
        <w:tc>
          <w:tcPr>
            <w:tcW w:w="3397" w:type="dxa"/>
            <w:tcBorders>
              <w:top w:val="single" w:sz="8" w:space="0" w:color="auto"/>
            </w:tcBorders>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Buchan Headwaters WZ</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Cape Howe</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Cape Howe WZ</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Coopracambra</w:t>
            </w:r>
            <w:proofErr w:type="spellEnd"/>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Genoa WZ, </w:t>
            </w:r>
            <w:proofErr w:type="spellStart"/>
            <w:r w:rsidRPr="008268EB">
              <w:rPr>
                <w:rFonts w:ascii="Segoe UI" w:eastAsia="Calibri" w:hAnsi="Segoe UI" w:cs="Calibri"/>
                <w:sz w:val="19"/>
                <w:szCs w:val="19"/>
                <w:lang w:eastAsia="en-AU"/>
              </w:rPr>
              <w:t>Coopracambra</w:t>
            </w:r>
            <w:proofErr w:type="spellEnd"/>
            <w:r w:rsidRPr="008268EB">
              <w:rPr>
                <w:rFonts w:ascii="Segoe UI" w:eastAsia="Calibri" w:hAnsi="Segoe UI" w:cs="Calibri"/>
                <w:sz w:val="19"/>
                <w:szCs w:val="19"/>
                <w:lang w:eastAsia="en-AU"/>
              </w:rPr>
              <w:t xml:space="preserv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Petrel</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Croajingolong</w:t>
            </w:r>
            <w:proofErr w:type="spellEnd"/>
            <w:r w:rsidRPr="008268EB">
              <w:rPr>
                <w:rFonts w:ascii="Segoe UI" w:eastAsia="Calibri" w:hAnsi="Segoe UI" w:cs="Calibri"/>
                <w:sz w:val="19"/>
                <w:szCs w:val="19"/>
                <w:lang w:eastAsia="en-AU"/>
              </w:rPr>
              <w:t xml:space="preserv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Sand Patch</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Part protected Sand Patch WZ, </w:t>
            </w:r>
            <w:proofErr w:type="spellStart"/>
            <w:r w:rsidRPr="008268EB">
              <w:rPr>
                <w:rFonts w:ascii="Segoe UI" w:eastAsia="Calibri" w:hAnsi="Segoe UI" w:cs="Calibri"/>
                <w:sz w:val="19"/>
                <w:szCs w:val="19"/>
                <w:lang w:eastAsia="en-AU"/>
              </w:rPr>
              <w:t>Croajingolong</w:t>
            </w:r>
            <w:proofErr w:type="spellEnd"/>
            <w:r w:rsidRPr="008268EB">
              <w:rPr>
                <w:rFonts w:ascii="Segoe UI" w:eastAsia="Calibri" w:hAnsi="Segoe UI" w:cs="Calibri"/>
                <w:sz w:val="19"/>
                <w:szCs w:val="19"/>
                <w:lang w:eastAsia="en-AU"/>
              </w:rPr>
              <w:t xml:space="preserv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Snowy</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Snowy River WZ and Bowen WZ</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Tamboon</w:t>
            </w:r>
            <w:proofErr w:type="spellEnd"/>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Croajingolong</w:t>
            </w:r>
            <w:proofErr w:type="spellEnd"/>
            <w:r w:rsidRPr="008268EB">
              <w:rPr>
                <w:rFonts w:ascii="Segoe UI" w:eastAsia="Calibri" w:hAnsi="Segoe UI" w:cs="Calibri"/>
                <w:sz w:val="19"/>
                <w:szCs w:val="19"/>
                <w:lang w:eastAsia="en-AU"/>
              </w:rPr>
              <w:t xml:space="preserv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Tingaringy</w:t>
            </w:r>
            <w:proofErr w:type="spellEnd"/>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Tingaringy</w:t>
            </w:r>
            <w:proofErr w:type="spellEnd"/>
            <w:r w:rsidRPr="008268EB">
              <w:rPr>
                <w:rFonts w:ascii="Segoe UI" w:eastAsia="Calibri" w:hAnsi="Segoe UI" w:cs="Calibri"/>
                <w:sz w:val="19"/>
                <w:szCs w:val="19"/>
                <w:lang w:eastAsia="en-AU"/>
              </w:rPr>
              <w:t xml:space="preserve"> WZ, Alpine NP</w:t>
            </w:r>
          </w:p>
        </w:tc>
      </w:tr>
      <w:tr w:rsidR="008268EB" w:rsidRPr="008268EB" w:rsidTr="007F17A0">
        <w:trPr>
          <w:trHeight w:val="340"/>
        </w:trPr>
        <w:tc>
          <w:tcPr>
            <w:tcW w:w="227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Upper-</w:t>
            </w:r>
            <w:proofErr w:type="spellStart"/>
            <w:r w:rsidRPr="008268EB">
              <w:rPr>
                <w:rFonts w:ascii="Segoe UI" w:eastAsia="Calibri" w:hAnsi="Segoe UI" w:cs="Calibri"/>
                <w:sz w:val="19"/>
                <w:szCs w:val="19"/>
                <w:lang w:eastAsia="en-AU"/>
              </w:rPr>
              <w:t>Brodribb</w:t>
            </w:r>
            <w:proofErr w:type="spellEnd"/>
          </w:p>
        </w:tc>
        <w:tc>
          <w:tcPr>
            <w:tcW w:w="3397" w:type="dxa"/>
            <w:tcBorders>
              <w:bottom w:val="single" w:sz="8" w:space="0" w:color="auto"/>
            </w:tcBorders>
            <w:noWrap/>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Errinundra</w:t>
            </w:r>
            <w:proofErr w:type="spellEnd"/>
            <w:r w:rsidRPr="008268EB">
              <w:rPr>
                <w:rFonts w:ascii="Segoe UI" w:eastAsia="Calibri" w:hAnsi="Segoe UI" w:cs="Calibri"/>
                <w:sz w:val="19"/>
                <w:szCs w:val="19"/>
                <w:lang w:eastAsia="en-AU"/>
              </w:rPr>
              <w:t xml:space="preserve"> NP</w:t>
            </w:r>
          </w:p>
        </w:tc>
      </w:tr>
      <w:tr w:rsidR="008268EB" w:rsidRPr="008268EB" w:rsidTr="007F17A0">
        <w:trPr>
          <w:trHeight w:val="340"/>
        </w:trPr>
        <w:tc>
          <w:tcPr>
            <w:tcW w:w="227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3397"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Avon</w:t>
            </w:r>
          </w:p>
        </w:tc>
        <w:tc>
          <w:tcPr>
            <w:tcW w:w="3397" w:type="dxa"/>
            <w:tcBorders>
              <w:top w:val="single" w:sz="8" w:space="0" w:color="auto"/>
            </w:tcBorders>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Avon WP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Indi Addition to Pilot and Davies Plain</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Indi WZ, Alpine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Mt Darling/Snowy Bluff</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Mt Darling/Snowy Bluff WZ, Alpine NP</w:t>
            </w:r>
          </w:p>
        </w:tc>
      </w:tr>
      <w:tr w:rsidR="008268EB" w:rsidRPr="008268EB" w:rsidTr="007F17A0">
        <w:trPr>
          <w:trHeight w:val="340"/>
        </w:trPr>
        <w:tc>
          <w:tcPr>
            <w:tcW w:w="227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Wilsons Promontory</w:t>
            </w:r>
          </w:p>
        </w:tc>
        <w:tc>
          <w:tcPr>
            <w:tcW w:w="3397" w:type="dxa"/>
            <w:tcBorders>
              <w:bottom w:val="single" w:sz="8" w:space="0" w:color="auto"/>
            </w:tcBorders>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Wilsons Promontory WZ, Wilsons Promontory NP</w:t>
            </w:r>
          </w:p>
        </w:tc>
      </w:tr>
      <w:tr w:rsidR="008268EB" w:rsidRPr="008268EB" w:rsidTr="007F17A0">
        <w:trPr>
          <w:trHeight w:val="340"/>
        </w:trPr>
        <w:tc>
          <w:tcPr>
            <w:tcW w:w="2278"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Gippsland/North East</w:t>
            </w:r>
          </w:p>
        </w:tc>
        <w:tc>
          <w:tcPr>
            <w:tcW w:w="3397" w:type="dxa"/>
            <w:tcBorders>
              <w:top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Macalister</w:t>
            </w:r>
          </w:p>
        </w:tc>
        <w:tc>
          <w:tcPr>
            <w:tcW w:w="3397" w:type="dxa"/>
            <w:tcBorders>
              <w:top w:val="single" w:sz="8" w:space="0" w:color="auto"/>
            </w:tcBorders>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Alpine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Razor/Viking</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Razor Viking WZ</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Dartmouth</w:t>
            </w:r>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Partly protected by Alpine NP</w:t>
            </w:r>
          </w:p>
        </w:tc>
      </w:tr>
      <w:tr w:rsidR="008268EB" w:rsidRPr="008268EB" w:rsidTr="007F17A0">
        <w:trPr>
          <w:trHeight w:val="340"/>
        </w:trPr>
        <w:tc>
          <w:tcPr>
            <w:tcW w:w="2278"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Wabba</w:t>
            </w:r>
            <w:proofErr w:type="spellEnd"/>
          </w:p>
        </w:tc>
        <w:tc>
          <w:tcPr>
            <w:tcW w:w="3397" w:type="dxa"/>
            <w:noWrap/>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Wabba</w:t>
            </w:r>
            <w:proofErr w:type="spellEnd"/>
            <w:r w:rsidRPr="008268EB">
              <w:rPr>
                <w:rFonts w:ascii="Segoe UI" w:eastAsia="Calibri" w:hAnsi="Segoe UI" w:cs="Calibri"/>
                <w:sz w:val="19"/>
                <w:szCs w:val="19"/>
                <w:lang w:eastAsia="en-AU"/>
              </w:rPr>
              <w:t xml:space="preserve"> WP</w:t>
            </w:r>
          </w:p>
        </w:tc>
      </w:tr>
      <w:tr w:rsidR="008268EB" w:rsidRPr="008268EB" w:rsidTr="007F17A0">
        <w:trPr>
          <w:trHeight w:val="340"/>
        </w:trPr>
        <w:tc>
          <w:tcPr>
            <w:tcW w:w="2278"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
        </w:tc>
        <w:tc>
          <w:tcPr>
            <w:tcW w:w="3397"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proofErr w:type="spellStart"/>
            <w:r w:rsidRPr="008268EB">
              <w:rPr>
                <w:rFonts w:ascii="Segoe UI" w:eastAsia="Calibri" w:hAnsi="Segoe UI" w:cs="Calibri"/>
                <w:sz w:val="19"/>
                <w:szCs w:val="19"/>
                <w:lang w:eastAsia="en-AU"/>
              </w:rPr>
              <w:t>Yarrarabulla</w:t>
            </w:r>
            <w:proofErr w:type="spellEnd"/>
            <w:r w:rsidRPr="008268EB">
              <w:rPr>
                <w:rFonts w:ascii="Segoe UI" w:eastAsia="Calibri" w:hAnsi="Segoe UI" w:cs="Calibri"/>
                <w:sz w:val="19"/>
                <w:szCs w:val="19"/>
                <w:lang w:eastAsia="en-AU"/>
              </w:rPr>
              <w:t xml:space="preserve"> Creek</w:t>
            </w:r>
          </w:p>
        </w:tc>
        <w:tc>
          <w:tcPr>
            <w:tcW w:w="3397" w:type="dxa"/>
            <w:tcBorders>
              <w:bottom w:val="single" w:sz="8" w:space="0" w:color="auto"/>
            </w:tcBorders>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Protected as PRK Forest Management Zone in State forest</w:t>
            </w:r>
          </w:p>
        </w:tc>
      </w:tr>
    </w:tbl>
    <w:p w:rsidR="008268EB" w:rsidRPr="008268EB" w:rsidRDefault="00F30F0A"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a </w:t>
      </w:r>
      <w:r w:rsidRPr="008268EB">
        <w:rPr>
          <w:rFonts w:ascii="Segoe UI" w:eastAsia="STZhongsong" w:hAnsi="Segoe UI" w:cs="Segoe UI"/>
          <w:bCs/>
          <w:sz w:val="18"/>
          <w:szCs w:val="18"/>
          <w:lang w:eastAsia="ko-KR"/>
        </w:rPr>
        <w:tab/>
      </w:r>
      <w:r w:rsidR="008268EB" w:rsidRPr="008268EB">
        <w:rPr>
          <w:rFonts w:ascii="Segoe UI" w:eastAsia="STZhongsong" w:hAnsi="Segoe UI" w:cs="Segoe UI"/>
          <w:bCs/>
          <w:sz w:val="18"/>
          <w:szCs w:val="18"/>
          <w:lang w:eastAsia="ko-KR"/>
        </w:rPr>
        <w:t xml:space="preserve">NP: national park; WZ: wilderness zone; PRK: park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Source: </w:t>
      </w:r>
      <w:r w:rsidRPr="008268EB">
        <w:rPr>
          <w:rFonts w:ascii="Segoe UI" w:eastAsia="STZhongsong" w:hAnsi="Segoe UI" w:cs="Segoe UI"/>
          <w:bCs/>
          <w:sz w:val="18"/>
          <w:szCs w:val="18"/>
          <w:lang w:eastAsia="ko-KR"/>
        </w:rPr>
        <w:tab/>
        <w:t>Data derived from the CRAs accessed via the ABARES website (</w:t>
      </w:r>
      <w:proofErr w:type="spellStart"/>
      <w:r w:rsidRPr="008268EB">
        <w:rPr>
          <w:rFonts w:ascii="Segoe UI" w:eastAsia="STZhongsong" w:hAnsi="Segoe UI" w:cs="Segoe UI"/>
          <w:bCs/>
          <w:sz w:val="18"/>
          <w:szCs w:val="18"/>
          <w:lang w:eastAsia="ko-KR"/>
        </w:rPr>
        <w:t>VicRFASC</w:t>
      </w:r>
      <w:proofErr w:type="spellEnd"/>
      <w:r w:rsidRPr="008268EB">
        <w:rPr>
          <w:rFonts w:ascii="Segoe UI" w:eastAsia="STZhongsong" w:hAnsi="Segoe UI" w:cs="Segoe UI"/>
          <w:bCs/>
          <w:sz w:val="18"/>
          <w:szCs w:val="18"/>
          <w:lang w:eastAsia="ko-KR"/>
        </w:rPr>
        <w:t xml:space="preserve"> (1996)) and PLM25 (DELWP)</w:t>
      </w:r>
    </w:p>
    <w:p w:rsidR="008268EB" w:rsidRPr="008268EB" w:rsidRDefault="008268EB" w:rsidP="008268EB">
      <w:pPr>
        <w:rPr>
          <w:rFonts w:ascii="Segoe UI" w:eastAsia="STZhongsong" w:hAnsi="Segoe UI" w:cs="Segoe UI"/>
          <w:bCs/>
          <w:sz w:val="18"/>
          <w:szCs w:val="18"/>
          <w:lang w:eastAsia="ko-KR"/>
        </w:rPr>
      </w:pPr>
      <w:r w:rsidRPr="008268EB">
        <w:rPr>
          <w:rFonts w:ascii="Segoe UI" w:hAnsi="Segoe UI" w:cs="Segoe UI"/>
        </w:rPr>
        <w:br w:type="page"/>
      </w:r>
    </w:p>
    <w:p w:rsidR="008268EB" w:rsidRPr="008268EB" w:rsidRDefault="008268EB" w:rsidP="008268EB">
      <w:pPr>
        <w:jc w:val="both"/>
        <w:rPr>
          <w:rFonts w:ascii="Segoe UI" w:hAnsi="Segoe UI" w:cs="Segoe UI"/>
        </w:rPr>
      </w:pPr>
      <w:r w:rsidRPr="008268EB">
        <w:rPr>
          <w:rFonts w:ascii="Segoe UI" w:hAnsi="Segoe UI" w:cs="Segoe UI"/>
        </w:rPr>
        <w:fldChar w:fldCharType="begin"/>
      </w:r>
      <w:r w:rsidRPr="008268EB">
        <w:rPr>
          <w:rFonts w:ascii="Segoe UI" w:hAnsi="Segoe UI" w:cs="Segoe UI"/>
        </w:rPr>
        <w:instrText xml:space="preserve"> REF _Ref14772713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9</w:t>
      </w:r>
      <w:r w:rsidRPr="008268EB">
        <w:rPr>
          <w:rFonts w:ascii="Segoe UI" w:hAnsi="Segoe UI" w:cs="Segoe UI"/>
        </w:rPr>
        <w:fldChar w:fldCharType="end"/>
      </w:r>
      <w:r w:rsidRPr="008268EB">
        <w:rPr>
          <w:rFonts w:ascii="Segoe UI" w:hAnsi="Segoe UI" w:cs="Segoe UI"/>
        </w:rPr>
        <w:t xml:space="preserve"> summarises the area of wilderness in the Victorian RFA regions over five-year intervals. Note that there have been no significant changes in area over the period of the RFAs, with minor area changes attributable to accuracy of spatial data, rather than additions or excisions from the wilderness itself. There is a difference between protected areas of high wilderness quality, as detailed in </w:t>
      </w:r>
      <w:r w:rsidRPr="008268EB">
        <w:rPr>
          <w:rFonts w:ascii="Segoe UI" w:hAnsi="Segoe UI" w:cs="Segoe UI"/>
        </w:rPr>
        <w:fldChar w:fldCharType="begin"/>
      </w:r>
      <w:r w:rsidRPr="008268EB">
        <w:rPr>
          <w:rFonts w:ascii="Segoe UI" w:hAnsi="Segoe UI" w:cs="Segoe UI"/>
        </w:rPr>
        <w:instrText xml:space="preserve"> REF _Ref12524692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7</w:t>
      </w:r>
      <w:r w:rsidRPr="008268EB">
        <w:rPr>
          <w:rFonts w:ascii="Segoe UI" w:hAnsi="Segoe UI" w:cs="Segoe UI"/>
        </w:rPr>
        <w:fldChar w:fldCharType="end"/>
      </w:r>
      <w:r w:rsidRPr="008268EB">
        <w:rPr>
          <w:rFonts w:ascii="Segoe UI" w:hAnsi="Segoe UI" w:cs="Segoe UI"/>
        </w:rPr>
        <w:t xml:space="preserve">, and area of wilderness, as in </w:t>
      </w:r>
      <w:r w:rsidRPr="008268EB">
        <w:rPr>
          <w:rFonts w:ascii="Segoe UI" w:hAnsi="Segoe UI" w:cs="Segoe UI"/>
        </w:rPr>
        <w:fldChar w:fldCharType="begin"/>
      </w:r>
      <w:r w:rsidRPr="008268EB">
        <w:rPr>
          <w:rFonts w:ascii="Segoe UI" w:hAnsi="Segoe UI" w:cs="Segoe UI"/>
        </w:rPr>
        <w:instrText xml:space="preserve"> REF _Ref14772577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8</w:t>
      </w:r>
      <w:r w:rsidRPr="008268EB">
        <w:rPr>
          <w:rFonts w:ascii="Segoe UI" w:hAnsi="Segoe UI" w:cs="Segoe UI"/>
        </w:rPr>
        <w:fldChar w:fldCharType="end"/>
      </w:r>
      <w:r w:rsidRPr="008268EB">
        <w:rPr>
          <w:rFonts w:ascii="Segoe UI" w:hAnsi="Segoe UI" w:cs="Segoe UI"/>
        </w:rPr>
        <w:t xml:space="preserve">, as </w:t>
      </w:r>
      <w:r w:rsidRPr="008268EB">
        <w:rPr>
          <w:rFonts w:ascii="Segoe UI" w:hAnsi="Segoe UI" w:cs="Segoe UI"/>
        </w:rPr>
        <w:fldChar w:fldCharType="begin"/>
      </w:r>
      <w:r w:rsidRPr="008268EB">
        <w:rPr>
          <w:rFonts w:ascii="Segoe UI" w:hAnsi="Segoe UI" w:cs="Segoe UI"/>
        </w:rPr>
        <w:instrText xml:space="preserve"> REF _Ref14772577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8</w:t>
      </w:r>
      <w:r w:rsidRPr="008268EB">
        <w:rPr>
          <w:rFonts w:ascii="Segoe UI" w:hAnsi="Segoe UI" w:cs="Segoe UI"/>
        </w:rPr>
        <w:fldChar w:fldCharType="end"/>
      </w:r>
      <w:r w:rsidRPr="008268EB">
        <w:rPr>
          <w:rFonts w:ascii="Segoe UI" w:hAnsi="Segoe UI" w:cs="Segoe UI"/>
        </w:rPr>
        <w:t xml:space="preserve"> shows only the wilderness zones and parks established by the </w:t>
      </w:r>
      <w:r w:rsidRPr="008268EB">
        <w:rPr>
          <w:rFonts w:ascii="Segoe UI" w:hAnsi="Segoe UI" w:cs="Segoe UI"/>
          <w:i/>
        </w:rPr>
        <w:t xml:space="preserve">National Parks Act 1975 </w:t>
      </w:r>
      <w:r w:rsidRPr="008268EB">
        <w:rPr>
          <w:rFonts w:ascii="Segoe UI" w:hAnsi="Segoe UI" w:cs="Segoe UI"/>
          <w:iCs/>
        </w:rPr>
        <w:t>(Vic)</w:t>
      </w:r>
      <w:r w:rsidRPr="008268EB">
        <w:rPr>
          <w:rFonts w:ascii="Segoe UI" w:hAnsi="Segoe UI" w:cs="Segoe UI"/>
        </w:rPr>
        <w:t>.</w:t>
      </w:r>
      <w:r w:rsidRPr="008268EB">
        <w:rPr>
          <w:rFonts w:ascii="Calibri" w:eastAsia="Times New Roman" w:hAnsi="Calibri" w:cs="Calibri"/>
          <w:color w:val="1F497D"/>
        </w:rPr>
        <w:t xml:space="preserve"> </w:t>
      </w:r>
      <w:r w:rsidRPr="008268EB">
        <w:rPr>
          <w:rFonts w:ascii="Segoe UI" w:hAnsi="Segoe UI" w:cs="Segoe UI"/>
        </w:rPr>
        <w:t xml:space="preserve">One hundred per cent of wilderness zones and parks are reserved. </w:t>
      </w:r>
      <w:r w:rsidRPr="008268EB">
        <w:rPr>
          <w:rFonts w:ascii="Segoe UI" w:hAnsi="Segoe UI" w:cs="Segoe UI"/>
        </w:rPr>
        <w:fldChar w:fldCharType="begin"/>
      </w:r>
      <w:r w:rsidRPr="008268EB">
        <w:rPr>
          <w:rFonts w:ascii="Segoe UI" w:hAnsi="Segoe UI" w:cs="Segoe UI"/>
        </w:rPr>
        <w:instrText xml:space="preserve"> REF _Ref12869547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Figure 2</w:t>
      </w:r>
      <w:r w:rsidRPr="008268EB">
        <w:rPr>
          <w:rFonts w:ascii="Segoe UI" w:hAnsi="Segoe UI" w:cs="Segoe UI"/>
        </w:rPr>
        <w:fldChar w:fldCharType="end"/>
      </w:r>
      <w:r w:rsidRPr="008268EB">
        <w:rPr>
          <w:rFonts w:ascii="Segoe UI" w:hAnsi="Segoe UI" w:cs="Segoe UI"/>
        </w:rPr>
        <w:t xml:space="preserve"> shows the location of the wilderness areas, as established by the Act, in the Victorian RFA regions.</w:t>
      </w:r>
    </w:p>
    <w:p w:rsidR="008268EB" w:rsidRPr="008268EB" w:rsidRDefault="008268EB" w:rsidP="008268EB">
      <w:pPr>
        <w:spacing w:after="200" w:line="240" w:lineRule="auto"/>
        <w:rPr>
          <w:rFonts w:ascii="Segoe UI Semibold" w:eastAsia="Times New Roman" w:hAnsi="Segoe UI Semibold" w:cs="Times New Roman"/>
          <w:color w:val="016295"/>
        </w:rPr>
      </w:pPr>
      <w:bookmarkStart w:id="42" w:name="_Ref14772713"/>
      <w:bookmarkStart w:id="43" w:name="_Toc25660793"/>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9</w:t>
      </w:r>
      <w:r w:rsidRPr="008268EB">
        <w:rPr>
          <w:rFonts w:ascii="Segoe UI Semibold" w:eastAsia="Times New Roman" w:hAnsi="Segoe UI Semibold" w:cs="Times New Roman"/>
          <w:noProof/>
          <w:color w:val="016295"/>
        </w:rPr>
        <w:fldChar w:fldCharType="end"/>
      </w:r>
      <w:bookmarkEnd w:id="42"/>
      <w:r w:rsidRPr="008268EB">
        <w:rPr>
          <w:rFonts w:ascii="Segoe UI Semibold" w:eastAsia="Times New Roman" w:hAnsi="Segoe UI Semibold" w:cs="Times New Roman"/>
          <w:color w:val="016295"/>
        </w:rPr>
        <w:t>: Wilderness zones and parks in Victorian RFA regions</w:t>
      </w:r>
      <w:bookmarkEnd w:id="43"/>
    </w:p>
    <w:tbl>
      <w:tblPr>
        <w:tblW w:w="9102" w:type="dxa"/>
        <w:tblLayout w:type="fixed"/>
        <w:tblCellMar>
          <w:top w:w="85" w:type="dxa"/>
          <w:bottom w:w="85" w:type="dxa"/>
        </w:tblCellMar>
        <w:tblLook w:val="04A0" w:firstRow="1" w:lastRow="0" w:firstColumn="1" w:lastColumn="0" w:noHBand="0" w:noVBand="1"/>
      </w:tblPr>
      <w:tblGrid>
        <w:gridCol w:w="1863"/>
        <w:gridCol w:w="1447"/>
        <w:gridCol w:w="1448"/>
        <w:gridCol w:w="1448"/>
        <w:gridCol w:w="1448"/>
        <w:gridCol w:w="1448"/>
      </w:tblGrid>
      <w:tr w:rsidR="008268EB" w:rsidRPr="008268EB" w:rsidTr="007F17A0">
        <w:trPr>
          <w:trHeight w:val="227"/>
        </w:trPr>
        <w:tc>
          <w:tcPr>
            <w:tcW w:w="1863" w:type="dxa"/>
            <w:tcBorders>
              <w:right w:val="single" w:sz="8" w:space="0" w:color="FFFFFF" w:themeColor="background1"/>
            </w:tcBorders>
            <w:shd w:val="clear" w:color="auto" w:fill="E2EFD9" w:themeFill="accent6" w:themeFillTint="33"/>
            <w:noWrap/>
            <w:hideMark/>
          </w:tcPr>
          <w:p w:rsidR="008268EB" w:rsidRPr="008268EB" w:rsidRDefault="008268EB" w:rsidP="008268EB">
            <w:pPr>
              <w:spacing w:after="0"/>
              <w:jc w:val="center"/>
              <w:rPr>
                <w:rFonts w:ascii="Segoe UI" w:hAnsi="Segoe UI" w:cs="Segoe UI"/>
                <w:b/>
                <w:bCs/>
                <w:sz w:val="19"/>
                <w:szCs w:val="19"/>
              </w:rPr>
            </w:pPr>
          </w:p>
        </w:tc>
        <w:tc>
          <w:tcPr>
            <w:tcW w:w="7239"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Area (hectares)</w:t>
            </w:r>
          </w:p>
        </w:tc>
      </w:tr>
      <w:tr w:rsidR="008268EB" w:rsidRPr="008268EB" w:rsidTr="007F17A0">
        <w:trPr>
          <w:trHeight w:val="454"/>
        </w:trPr>
        <w:tc>
          <w:tcPr>
            <w:tcW w:w="0" w:type="dxa"/>
            <w:tcBorders>
              <w:right w:val="single" w:sz="8" w:space="0" w:color="FFFFFF" w:themeColor="background1"/>
            </w:tcBorders>
            <w:shd w:val="clear" w:color="auto" w:fill="E2EFD9" w:themeFill="accent6" w:themeFillTint="33"/>
            <w:noWrap/>
            <w:hideMark/>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sz w:val="19"/>
                <w:szCs w:val="19"/>
                <w:lang w:eastAsia="en-AU"/>
              </w:rPr>
              <w:t>RFA region</w:t>
            </w:r>
          </w:p>
        </w:tc>
        <w:tc>
          <w:tcPr>
            <w:tcW w:w="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Total area of RFA region</w:t>
            </w:r>
          </w:p>
        </w:tc>
        <w:tc>
          <w:tcPr>
            <w:tcW w:w="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At 30 June 2001</w:t>
            </w:r>
          </w:p>
        </w:tc>
        <w:tc>
          <w:tcPr>
            <w:tcW w:w="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At 30 June 2006</w:t>
            </w:r>
          </w:p>
        </w:tc>
        <w:tc>
          <w:tcPr>
            <w:tcW w:w="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noWrap/>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At 30 June 2011</w:t>
            </w:r>
          </w:p>
        </w:tc>
        <w:tc>
          <w:tcPr>
            <w:tcW w:w="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noWrap/>
            <w:hideMark/>
          </w:tcPr>
          <w:p w:rsidR="008268EB" w:rsidRPr="008268EB" w:rsidRDefault="008268EB" w:rsidP="008268EB">
            <w:pPr>
              <w:spacing w:after="0" w:line="240" w:lineRule="auto"/>
              <w:jc w:val="center"/>
              <w:rPr>
                <w:rFonts w:ascii="Segoe UI" w:eastAsia="Calibri" w:hAnsi="Segoe UI" w:cs="Calibri"/>
                <w:sz w:val="19"/>
                <w:szCs w:val="19"/>
                <w:lang w:eastAsia="en-AU"/>
              </w:rPr>
            </w:pPr>
            <w:r w:rsidRPr="008268EB">
              <w:rPr>
                <w:rFonts w:ascii="Segoe UI" w:eastAsia="Calibri" w:hAnsi="Segoe UI" w:cs="Calibri"/>
                <w:sz w:val="19"/>
                <w:szCs w:val="19"/>
                <w:lang w:eastAsia="en-AU"/>
              </w:rPr>
              <w:t>At 30 June 2016</w:t>
            </w:r>
          </w:p>
        </w:tc>
      </w:tr>
      <w:tr w:rsidR="008268EB" w:rsidRPr="008268EB" w:rsidTr="007F17A0">
        <w:trPr>
          <w:trHeight w:val="300"/>
        </w:trPr>
        <w:tc>
          <w:tcPr>
            <w:tcW w:w="1863"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Central Highlands</w:t>
            </w:r>
          </w:p>
        </w:tc>
        <w:tc>
          <w:tcPr>
            <w:tcW w:w="1447" w:type="dxa"/>
            <w:tcBorders>
              <w:top w:val="single" w:sz="8" w:space="0" w:color="FFFFFF" w:themeColor="background1"/>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1,132,000</w:t>
            </w:r>
          </w:p>
        </w:tc>
        <w:tc>
          <w:tcPr>
            <w:tcW w:w="1448" w:type="dxa"/>
            <w:tcBorders>
              <w:top w:val="single" w:sz="8" w:space="0" w:color="FFFFFF" w:themeColor="background1"/>
            </w:tcBorders>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448" w:type="dxa"/>
            <w:tcBorders>
              <w:top w:val="single" w:sz="8" w:space="0" w:color="FFFFFF" w:themeColor="background1"/>
            </w:tcBorders>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448" w:type="dxa"/>
            <w:tcBorders>
              <w:top w:val="single" w:sz="8" w:space="0" w:color="FFFFFF" w:themeColor="background1"/>
            </w:tcBorders>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448" w:type="dxa"/>
            <w:tcBorders>
              <w:top w:val="single" w:sz="8" w:space="0" w:color="FFFFFF" w:themeColor="background1"/>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r>
      <w:tr w:rsidR="008268EB" w:rsidRPr="008268EB" w:rsidTr="007F17A0">
        <w:trPr>
          <w:trHeight w:val="300"/>
        </w:trPr>
        <w:tc>
          <w:tcPr>
            <w:tcW w:w="1863"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East Gippsland</w:t>
            </w:r>
          </w:p>
        </w:tc>
        <w:tc>
          <w:tcPr>
            <w:tcW w:w="1447"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1,213,000</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130,264</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130,264</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130,264</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130,264</w:t>
            </w:r>
          </w:p>
        </w:tc>
      </w:tr>
      <w:tr w:rsidR="008268EB" w:rsidRPr="008268EB" w:rsidTr="007F17A0">
        <w:trPr>
          <w:trHeight w:val="300"/>
        </w:trPr>
        <w:tc>
          <w:tcPr>
            <w:tcW w:w="1863"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Gippsland</w:t>
            </w:r>
          </w:p>
        </w:tc>
        <w:tc>
          <w:tcPr>
            <w:tcW w:w="1447"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2,655,000</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121,563</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121,563</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121,563</w:t>
            </w:r>
          </w:p>
        </w:tc>
        <w:tc>
          <w:tcPr>
            <w:tcW w:w="144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121,563</w:t>
            </w:r>
          </w:p>
        </w:tc>
      </w:tr>
      <w:tr w:rsidR="008268EB" w:rsidRPr="008268EB" w:rsidTr="007F17A0">
        <w:trPr>
          <w:trHeight w:val="300"/>
        </w:trPr>
        <w:tc>
          <w:tcPr>
            <w:tcW w:w="1863" w:type="dxa"/>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North East</w:t>
            </w:r>
          </w:p>
        </w:tc>
        <w:tc>
          <w:tcPr>
            <w:tcW w:w="1447"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2,317,000</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35,026</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35,026</w:t>
            </w:r>
          </w:p>
        </w:tc>
        <w:tc>
          <w:tcPr>
            <w:tcW w:w="1448" w:type="dxa"/>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35,026</w:t>
            </w:r>
          </w:p>
        </w:tc>
        <w:tc>
          <w:tcPr>
            <w:tcW w:w="1448" w:type="dxa"/>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35,026</w:t>
            </w:r>
          </w:p>
        </w:tc>
      </w:tr>
      <w:tr w:rsidR="008268EB" w:rsidRPr="008268EB" w:rsidTr="007F17A0">
        <w:trPr>
          <w:trHeight w:val="315"/>
        </w:trPr>
        <w:tc>
          <w:tcPr>
            <w:tcW w:w="1863" w:type="dxa"/>
            <w:tcBorders>
              <w:bottom w:val="single" w:sz="8" w:space="0" w:color="auto"/>
            </w:tcBorders>
            <w:noWrap/>
            <w:hideMark/>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West</w:t>
            </w:r>
          </w:p>
        </w:tc>
        <w:tc>
          <w:tcPr>
            <w:tcW w:w="1447"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5,770,000</w:t>
            </w:r>
          </w:p>
        </w:tc>
        <w:tc>
          <w:tcPr>
            <w:tcW w:w="1448" w:type="dxa"/>
            <w:tcBorders>
              <w:bottom w:val="single" w:sz="8" w:space="0" w:color="auto"/>
            </w:tcBorders>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448" w:type="dxa"/>
            <w:tcBorders>
              <w:bottom w:val="single" w:sz="8" w:space="0" w:color="auto"/>
            </w:tcBorders>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448" w:type="dxa"/>
            <w:tcBorders>
              <w:bottom w:val="single" w:sz="8" w:space="0" w:color="auto"/>
            </w:tcBorders>
            <w:noWrap/>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c>
          <w:tcPr>
            <w:tcW w:w="1448" w:type="dxa"/>
            <w:tcBorders>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color w:val="000000"/>
                <w:sz w:val="19"/>
                <w:szCs w:val="19"/>
                <w:lang w:eastAsia="en-AU"/>
              </w:rPr>
            </w:pPr>
            <w:r w:rsidRPr="008268EB">
              <w:rPr>
                <w:rFonts w:ascii="Segoe UI" w:eastAsia="Calibri" w:hAnsi="Segoe UI" w:cs="Calibri"/>
                <w:color w:val="000000"/>
                <w:sz w:val="19"/>
                <w:szCs w:val="19"/>
                <w:lang w:eastAsia="en-AU"/>
              </w:rPr>
              <w:t>0</w:t>
            </w:r>
          </w:p>
        </w:tc>
      </w:tr>
      <w:tr w:rsidR="008268EB" w:rsidRPr="008268EB" w:rsidTr="007F17A0">
        <w:trPr>
          <w:trHeight w:val="315"/>
        </w:trPr>
        <w:tc>
          <w:tcPr>
            <w:tcW w:w="1863" w:type="dxa"/>
            <w:tcBorders>
              <w:top w:val="single" w:sz="8" w:space="0" w:color="auto"/>
              <w:bottom w:val="single" w:sz="8" w:space="0" w:color="auto"/>
            </w:tcBorders>
            <w:noWrap/>
            <w:hideMark/>
          </w:tcPr>
          <w:p w:rsidR="008268EB" w:rsidRPr="008268EB" w:rsidRDefault="008268EB" w:rsidP="008268EB">
            <w:pPr>
              <w:spacing w:before="20" w:after="0" w:line="240" w:lineRule="auto"/>
              <w:rPr>
                <w:rFonts w:ascii="Segoe UI" w:eastAsia="Calibri" w:hAnsi="Segoe UI" w:cs="Calibri"/>
                <w:b/>
                <w:sz w:val="19"/>
                <w:szCs w:val="19"/>
                <w:lang w:eastAsia="en-AU"/>
              </w:rPr>
            </w:pPr>
            <w:r w:rsidRPr="008268EB">
              <w:rPr>
                <w:rFonts w:ascii="Segoe UI" w:eastAsia="Calibri" w:hAnsi="Segoe UI" w:cs="Calibri"/>
                <w:b/>
                <w:sz w:val="19"/>
                <w:szCs w:val="19"/>
                <w:lang w:eastAsia="en-AU"/>
              </w:rPr>
              <w:t>All RFA regions</w:t>
            </w:r>
          </w:p>
        </w:tc>
        <w:tc>
          <w:tcPr>
            <w:tcW w:w="1447" w:type="dxa"/>
            <w:tcBorders>
              <w:top w:val="single" w:sz="8" w:space="0" w:color="auto"/>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fldChar w:fldCharType="begin"/>
            </w:r>
            <w:r w:rsidRPr="008268EB">
              <w:rPr>
                <w:rFonts w:ascii="Segoe UI" w:eastAsia="Calibri" w:hAnsi="Segoe UI" w:cs="Calibri"/>
                <w:b/>
                <w:color w:val="000000"/>
                <w:sz w:val="19"/>
                <w:szCs w:val="19"/>
                <w:lang w:eastAsia="en-AU"/>
              </w:rPr>
              <w:instrText xml:space="preserve"> =SUM(ABOVE) </w:instrText>
            </w:r>
            <w:r w:rsidRPr="008268EB">
              <w:rPr>
                <w:rFonts w:ascii="Segoe UI" w:eastAsia="Calibri" w:hAnsi="Segoe UI" w:cs="Calibri"/>
                <w:b/>
                <w:color w:val="000000"/>
                <w:sz w:val="19"/>
                <w:szCs w:val="19"/>
                <w:lang w:eastAsia="en-AU"/>
              </w:rPr>
              <w:fldChar w:fldCharType="separate"/>
            </w:r>
            <w:r w:rsidRPr="008268EB">
              <w:rPr>
                <w:rFonts w:ascii="Segoe UI" w:eastAsia="Calibri" w:hAnsi="Segoe UI" w:cs="Calibri"/>
                <w:b/>
                <w:color w:val="000000"/>
                <w:sz w:val="19"/>
                <w:szCs w:val="19"/>
                <w:lang w:eastAsia="en-AU"/>
              </w:rPr>
              <w:t>13,087,000</w:t>
            </w:r>
            <w:r w:rsidRPr="008268EB">
              <w:rPr>
                <w:rFonts w:ascii="Segoe UI" w:eastAsia="Calibri" w:hAnsi="Segoe UI" w:cs="Calibri"/>
                <w:b/>
                <w:color w:val="000000"/>
                <w:sz w:val="19"/>
                <w:szCs w:val="19"/>
                <w:lang w:eastAsia="en-AU"/>
              </w:rPr>
              <w:fldChar w:fldCharType="end"/>
            </w:r>
          </w:p>
        </w:tc>
        <w:tc>
          <w:tcPr>
            <w:tcW w:w="1448" w:type="dxa"/>
            <w:tcBorders>
              <w:top w:val="single" w:sz="8" w:space="0" w:color="auto"/>
              <w:bottom w:val="single" w:sz="8" w:space="0" w:color="auto"/>
            </w:tcBorders>
            <w:noWrap/>
            <w:hideMark/>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286,853</w:t>
            </w:r>
          </w:p>
        </w:tc>
        <w:tc>
          <w:tcPr>
            <w:tcW w:w="1448" w:type="dxa"/>
            <w:tcBorders>
              <w:top w:val="single" w:sz="8" w:space="0" w:color="auto"/>
              <w:bottom w:val="single" w:sz="8" w:space="0" w:color="auto"/>
            </w:tcBorders>
            <w:noWrap/>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286,853</w:t>
            </w:r>
          </w:p>
        </w:tc>
        <w:tc>
          <w:tcPr>
            <w:tcW w:w="1448" w:type="dxa"/>
            <w:tcBorders>
              <w:top w:val="single" w:sz="8" w:space="0" w:color="auto"/>
              <w:bottom w:val="single" w:sz="8" w:space="0" w:color="auto"/>
            </w:tcBorders>
            <w:noWrap/>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286,853</w:t>
            </w:r>
          </w:p>
        </w:tc>
        <w:tc>
          <w:tcPr>
            <w:tcW w:w="1448" w:type="dxa"/>
            <w:tcBorders>
              <w:top w:val="single" w:sz="8" w:space="0" w:color="auto"/>
              <w:bottom w:val="single" w:sz="8" w:space="0" w:color="auto"/>
            </w:tcBorders>
            <w:noWrap/>
          </w:tcPr>
          <w:p w:rsidR="008268EB" w:rsidRPr="008268EB" w:rsidRDefault="008268EB" w:rsidP="008268EB">
            <w:pPr>
              <w:spacing w:before="20" w:after="0" w:line="240" w:lineRule="auto"/>
              <w:jc w:val="right"/>
              <w:rPr>
                <w:rFonts w:ascii="Segoe UI" w:eastAsia="Calibri" w:hAnsi="Segoe UI" w:cs="Calibri"/>
                <w:b/>
                <w:color w:val="000000"/>
                <w:sz w:val="19"/>
                <w:szCs w:val="19"/>
                <w:lang w:eastAsia="en-AU"/>
              </w:rPr>
            </w:pPr>
            <w:r w:rsidRPr="008268EB">
              <w:rPr>
                <w:rFonts w:ascii="Segoe UI" w:eastAsia="Calibri" w:hAnsi="Segoe UI" w:cs="Calibri"/>
                <w:b/>
                <w:color w:val="000000"/>
                <w:sz w:val="19"/>
                <w:szCs w:val="19"/>
                <w:lang w:eastAsia="en-AU"/>
              </w:rPr>
              <w:t>286,853</w:t>
            </w:r>
          </w:p>
        </w:tc>
      </w:tr>
    </w:tbl>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Source: DELWP corporate data library WILDERNESS100 layer. </w:t>
      </w:r>
    </w:p>
    <w:p w:rsidR="008268EB" w:rsidRPr="008268EB" w:rsidRDefault="008268EB" w:rsidP="008268EB">
      <w:pPr>
        <w:keepNext/>
        <w:rPr>
          <w:rFonts w:ascii="Segoe UI" w:hAnsi="Segoe UI" w:cs="Segoe UI"/>
        </w:rPr>
      </w:pPr>
      <w:r w:rsidRPr="008268EB">
        <w:rPr>
          <w:rFonts w:ascii="Segoe UI" w:hAnsi="Segoe UI" w:cs="Segoe UI"/>
          <w:noProof/>
          <w:lang w:eastAsia="en-AU"/>
        </w:rPr>
        <w:drawing>
          <wp:inline distT="0" distB="0" distL="0" distR="0" wp14:anchorId="28F30ACB" wp14:editId="0EF1E112">
            <wp:extent cx="5759450" cy="40557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M_Wildernessarea_20190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055745"/>
                    </a:xfrm>
                    <a:prstGeom prst="rect">
                      <a:avLst/>
                    </a:prstGeom>
                  </pic:spPr>
                </pic:pic>
              </a:graphicData>
            </a:graphic>
          </wp:inline>
        </w:drawing>
      </w:r>
    </w:p>
    <w:p w:rsidR="008268EB" w:rsidRPr="008268EB" w:rsidRDefault="008268EB" w:rsidP="008268EB">
      <w:pPr>
        <w:spacing w:after="200" w:line="240" w:lineRule="auto"/>
        <w:rPr>
          <w:rFonts w:ascii="Segoe UI Semibold" w:eastAsia="Times New Roman" w:hAnsi="Segoe UI Semibold" w:cs="Times New Roman"/>
          <w:color w:val="016295"/>
        </w:rPr>
      </w:pPr>
      <w:bookmarkStart w:id="44" w:name="_Ref12869547"/>
      <w:r w:rsidRPr="008268EB">
        <w:rPr>
          <w:rFonts w:ascii="Segoe UI Semibold" w:eastAsia="Times New Roman" w:hAnsi="Segoe UI Semibold" w:cs="Times New Roman"/>
          <w:color w:val="016295"/>
        </w:rPr>
        <w:t xml:space="preserve">Figure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Figure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2</w:t>
      </w:r>
      <w:r w:rsidRPr="008268EB">
        <w:rPr>
          <w:rFonts w:ascii="Segoe UI Semibold" w:eastAsia="Times New Roman" w:hAnsi="Segoe UI Semibold" w:cs="Times New Roman"/>
          <w:noProof/>
          <w:color w:val="016295"/>
        </w:rPr>
        <w:fldChar w:fldCharType="end"/>
      </w:r>
      <w:bookmarkEnd w:id="44"/>
      <w:r w:rsidRPr="008268EB">
        <w:rPr>
          <w:rFonts w:ascii="Segoe UI Semibold" w:eastAsia="Times New Roman" w:hAnsi="Segoe UI Semibold" w:cs="Segoe UI Semibold"/>
          <w:color w:val="016295"/>
        </w:rPr>
        <w:t>:</w:t>
      </w:r>
      <w:r w:rsidRPr="008268EB">
        <w:rPr>
          <w:rFonts w:ascii="Segoe UI Semibold" w:eastAsia="Times New Roman" w:hAnsi="Segoe UI Semibold" w:cs="Times New Roman"/>
          <w:color w:val="016295"/>
        </w:rPr>
        <w:t xml:space="preserve"> Wilderness areas in Victorian RFA regions</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Other wilderness definitions</w:t>
      </w:r>
    </w:p>
    <w:p w:rsidR="008268EB" w:rsidRPr="008268EB" w:rsidRDefault="008268EB" w:rsidP="008268EB">
      <w:pPr>
        <w:jc w:val="both"/>
        <w:rPr>
          <w:rFonts w:ascii="Segoe UI" w:hAnsi="Segoe UI" w:cs="Segoe UI"/>
        </w:rPr>
      </w:pPr>
      <w:r w:rsidRPr="008268EB">
        <w:rPr>
          <w:rFonts w:ascii="Segoe UI" w:hAnsi="Segoe UI" w:cs="Segoe UI"/>
        </w:rPr>
        <w:t>The extent of formally reserved delineated wilderness, formally reserved identified wilderness, and the International Union for Conservation of Nature (IUCN) protected areas wilderness category are each determined through mechanisms using differing definitions of wilderness. The IUCN Wilderness Area is derived from the Collaborative Australian Protected Area Database (CAPAD)</w:t>
      </w:r>
      <w:r w:rsidRPr="008268EB">
        <w:rPr>
          <w:rFonts w:ascii="Segoe UI" w:hAnsi="Segoe UI" w:cs="Segoe UI"/>
          <w:vertAlign w:val="superscript"/>
        </w:rPr>
        <w:footnoteReference w:id="4"/>
      </w:r>
      <w:r w:rsidRPr="008268EB">
        <w:rPr>
          <w:rFonts w:ascii="Segoe UI" w:hAnsi="Segoe UI" w:cs="Segoe UI"/>
        </w:rPr>
        <w:t xml:space="preserve"> of the Australian Government Department of the Environment and Energy (</w:t>
      </w:r>
      <w:proofErr w:type="spellStart"/>
      <w:r w:rsidRPr="008268EB">
        <w:rPr>
          <w:rFonts w:ascii="Segoe UI" w:hAnsi="Segoe UI" w:cs="Segoe UI"/>
        </w:rPr>
        <w:t>DoEE</w:t>
      </w:r>
      <w:proofErr w:type="spellEnd"/>
      <w:r w:rsidRPr="008268EB">
        <w:rPr>
          <w:rFonts w:ascii="Segoe UI" w:hAnsi="Segoe UI" w:cs="Segoe UI"/>
        </w:rPr>
        <w:t>), so may include wilderness outside formal reserves but otherwise protected through mechanisms recorded in CAPAD, such as informal reserves. Declared wilderness is a subset of identified wilderness.</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International Union for Conservation of Nature wilderness</w:t>
      </w:r>
    </w:p>
    <w:p w:rsidR="008268EB" w:rsidRPr="008268EB" w:rsidRDefault="008268EB" w:rsidP="008268EB">
      <w:pPr>
        <w:jc w:val="both"/>
        <w:rPr>
          <w:rFonts w:ascii="Segoe UI" w:hAnsi="Segoe UI" w:cs="Segoe UI"/>
        </w:rPr>
      </w:pPr>
      <w:r w:rsidRPr="008268EB">
        <w:rPr>
          <w:rFonts w:ascii="Segoe UI" w:hAnsi="Segoe UI" w:cs="Segoe UI"/>
        </w:rPr>
        <w:t>The IUCN defines wilderness as:</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Protected areas [that] are usually large unmodified or slightly modified areas, retaining their natural character and influence without permanent or significant human habitation, which are protected and managed so as to preserve their natural condition.</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(IUCN 2019a)</w:t>
      </w:r>
    </w:p>
    <w:p w:rsidR="008268EB" w:rsidRPr="008268EB" w:rsidRDefault="008268EB" w:rsidP="008268EB">
      <w:pPr>
        <w:jc w:val="both"/>
        <w:rPr>
          <w:rFonts w:ascii="Segoe UI" w:hAnsi="Segoe UI" w:cs="Segoe UI"/>
        </w:rPr>
      </w:pPr>
      <w:r w:rsidRPr="008268EB">
        <w:rPr>
          <w:rFonts w:ascii="Segoe UI" w:hAnsi="Segoe UI" w:cs="Segoe UI"/>
        </w:rPr>
        <w:t xml:space="preserve">The IUCN protected areas category ‘1b Wilderness Area’ is reported through CAPAD. There are two IUCN Wilderness Areas within the Victorian RFA regions: Avon Wilderness Park and </w:t>
      </w:r>
      <w:proofErr w:type="spellStart"/>
      <w:r w:rsidRPr="008268EB">
        <w:rPr>
          <w:rFonts w:ascii="Segoe UI" w:hAnsi="Segoe UI" w:cs="Segoe UI"/>
        </w:rPr>
        <w:t>Wabba</w:t>
      </w:r>
      <w:proofErr w:type="spellEnd"/>
      <w:r w:rsidRPr="008268EB">
        <w:rPr>
          <w:rFonts w:ascii="Segoe UI" w:hAnsi="Segoe UI" w:cs="Segoe UI"/>
        </w:rPr>
        <w:t xml:space="preserve"> Wilderness Park. </w:t>
      </w:r>
      <w:r w:rsidRPr="008268EB">
        <w:rPr>
          <w:rFonts w:ascii="Segoe UI" w:hAnsi="Segoe UI" w:cs="Segoe UI"/>
        </w:rPr>
        <w:br w:type="page"/>
      </w:r>
    </w:p>
    <w:p w:rsidR="008268EB" w:rsidRPr="008268EB" w:rsidRDefault="008268EB" w:rsidP="008268EB">
      <w:pPr>
        <w:spacing w:before="360" w:after="240" w:line="440" w:lineRule="atLeast"/>
        <w:outlineLvl w:val="1"/>
        <w:rPr>
          <w:rFonts w:ascii="Segoe UI" w:hAnsi="Segoe UI" w:cs="Segoe UI"/>
          <w:b/>
          <w:color w:val="0074A1"/>
          <w:sz w:val="32"/>
          <w:szCs w:val="32"/>
        </w:rPr>
      </w:pPr>
      <w:bookmarkStart w:id="45" w:name="_Toc11768293"/>
      <w:bookmarkStart w:id="46" w:name="_Toc14418077"/>
      <w:bookmarkStart w:id="47" w:name="_Toc30491978"/>
      <w:bookmarkStart w:id="48" w:name="_Toc33002075"/>
      <w:r w:rsidRPr="008268EB">
        <w:rPr>
          <w:rFonts w:ascii="Segoe UI" w:hAnsi="Segoe UI" w:cs="Segoe UI"/>
          <w:b/>
          <w:color w:val="0074A1"/>
          <w:sz w:val="32"/>
          <w:szCs w:val="32"/>
        </w:rPr>
        <w:t>Endangered species values</w:t>
      </w:r>
      <w:bookmarkEnd w:id="45"/>
      <w:bookmarkEnd w:id="46"/>
      <w:bookmarkEnd w:id="47"/>
      <w:bookmarkEnd w:id="48"/>
    </w:p>
    <w:p w:rsidR="008268EB" w:rsidRPr="008268EB" w:rsidRDefault="008268EB" w:rsidP="008268EB">
      <w:pPr>
        <w:jc w:val="both"/>
        <w:rPr>
          <w:rFonts w:ascii="Segoe UI" w:hAnsi="Segoe UI" w:cs="Segoe UI"/>
        </w:rPr>
      </w:pPr>
      <w:r w:rsidRPr="008268EB">
        <w:rPr>
          <w:rFonts w:ascii="Segoe UI" w:hAnsi="Segoe UI" w:cs="Segoe UI"/>
        </w:rPr>
        <w:t xml:space="preserve">According to the </w:t>
      </w:r>
      <w:r w:rsidRPr="008268EB">
        <w:rPr>
          <w:rFonts w:ascii="Segoe UI" w:hAnsi="Segoe UI" w:cs="Segoe UI"/>
          <w:i/>
        </w:rPr>
        <w:t>National forest policy statement</w:t>
      </w:r>
      <w:r w:rsidRPr="008268EB">
        <w:rPr>
          <w:rFonts w:ascii="Segoe UI" w:hAnsi="Segoe UI" w:cs="Segoe UI"/>
        </w:rPr>
        <w:t>, endangered species are:</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species in danger of extinction and whose survival is unlikely if the causal factors continue operating. Included are species whose numbers have been reduced to a critical level or whose habitats have been so drastically reduced that the species are deemed to be in danger of extinction. Also included are species that are possibly already extinct but have definitely been seen in the wild in the past fifty years and have not been subject to recent thorough searching.</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(Commonwealth of Australia 1995, p. i [Glossary])</w:t>
      </w:r>
    </w:p>
    <w:p w:rsidR="008268EB" w:rsidRPr="008268EB" w:rsidRDefault="008268EB" w:rsidP="008268EB">
      <w:pPr>
        <w:jc w:val="both"/>
        <w:rPr>
          <w:rFonts w:ascii="Segoe UI" w:hAnsi="Segoe UI" w:cs="Segoe UI"/>
        </w:rPr>
      </w:pPr>
      <w:r w:rsidRPr="008268EB">
        <w:rPr>
          <w:rFonts w:ascii="Segoe UI" w:hAnsi="Segoe UI" w:cs="Segoe UI"/>
        </w:rPr>
        <w:t xml:space="preserve">The states and the Commonwealth have a number of strategies and key pieces of environmental legislation to protect environmental values including threatened species and communities. These extend to species that are endangered and processes that are a threat to their viability. It is proposed that the modernised Victorian RFAs will have new terminology: ‘Listed Species and Communities’. This is defined as a species or community listed under Part 13 of the </w:t>
      </w:r>
      <w:r w:rsidRPr="008268EB">
        <w:rPr>
          <w:rFonts w:ascii="Segoe UI" w:hAnsi="Segoe UI" w:cs="Segoe UI"/>
          <w:iCs/>
        </w:rPr>
        <w:t>EPBC Act</w:t>
      </w:r>
      <w:r w:rsidRPr="008268EB">
        <w:rPr>
          <w:rFonts w:ascii="Segoe UI" w:hAnsi="Segoe UI" w:cs="Segoe UI"/>
        </w:rPr>
        <w:t xml:space="preserve"> or Part 3 of the </w:t>
      </w:r>
      <w:r w:rsidRPr="008268EB">
        <w:rPr>
          <w:rFonts w:ascii="Segoe UI" w:hAnsi="Segoe UI" w:cs="Segoe UI"/>
          <w:i/>
        </w:rPr>
        <w:t>Flora and Fauna Guarantee Act 1988</w:t>
      </w:r>
      <w:r w:rsidRPr="008268EB">
        <w:rPr>
          <w:rFonts w:ascii="Segoe UI" w:hAnsi="Segoe UI" w:cs="Segoe UI"/>
        </w:rPr>
        <w:t xml:space="preserve"> (Vic.) (FFG Act) and that is, or has the potential to be, impacted upon by forestry operations. Listed Species and Communities in this assessment encompasses ‘endangered species’, which are specifically referred to as part of ‘environmental values’ in para. (a)(j) of the definition of ‘RFA’ in the </w:t>
      </w:r>
      <w:r w:rsidRPr="008268EB">
        <w:rPr>
          <w:rFonts w:ascii="Segoe UI" w:hAnsi="Segoe UI" w:cs="Segoe UI"/>
          <w:iCs/>
        </w:rPr>
        <w:t>RFA Act</w:t>
      </w:r>
      <w:r w:rsidRPr="008268EB">
        <w:rPr>
          <w:rFonts w:ascii="Segoe UI" w:hAnsi="Segoe UI" w:cs="Segoe UI"/>
        </w:rPr>
        <w:t xml:space="preserve">. However, the concept of ‘listed species’ is broader than the meaning of endangered species as defined in the </w:t>
      </w:r>
      <w:r w:rsidRPr="008268EB">
        <w:rPr>
          <w:rFonts w:ascii="Segoe UI" w:hAnsi="Segoe UI" w:cs="Segoe UI"/>
          <w:i/>
          <w:iCs/>
        </w:rPr>
        <w:t xml:space="preserve">National forest policy statement </w:t>
      </w:r>
      <w:r w:rsidRPr="008268EB">
        <w:rPr>
          <w:rFonts w:ascii="Segoe UI" w:hAnsi="Segoe UI" w:cs="Segoe UI"/>
        </w:rPr>
        <w:t>as it includes extinct, extinct in the wild, critically endangered, endangered, vulnerable and conservation dependent categories. Listed threatened species and ecological communities are matters of national environmental significance (MNES) under the EPBC Act.</w:t>
      </w:r>
    </w:p>
    <w:p w:rsidR="008268EB" w:rsidRPr="008268EB" w:rsidRDefault="008268EB" w:rsidP="008268EB">
      <w:pPr>
        <w:jc w:val="both"/>
        <w:rPr>
          <w:rFonts w:ascii="Segoe UI" w:hAnsi="Segoe UI" w:cs="Segoe UI"/>
        </w:rPr>
      </w:pPr>
      <w:r w:rsidRPr="008268EB">
        <w:rPr>
          <w:rFonts w:ascii="Segoe UI" w:hAnsi="Segoe UI" w:cs="Segoe UI"/>
        </w:rPr>
        <w:t xml:space="preserve">The EPBC Act is the Australian Government’s central piece of environmental legislation. The EPBC Act provides a legal framework to protect and manage nationally and internationally important flora, fauna, ecological communities, Ramsar wetlands and World and National Heritage places – defined in the EPBC Act as MNES. </w:t>
      </w:r>
    </w:p>
    <w:p w:rsidR="008268EB" w:rsidRPr="008268EB" w:rsidRDefault="008268EB" w:rsidP="008268EB">
      <w:pPr>
        <w:jc w:val="both"/>
        <w:rPr>
          <w:rFonts w:ascii="Segoe UI" w:hAnsi="Segoe UI" w:cs="Segoe UI"/>
        </w:rPr>
      </w:pPr>
      <w:bookmarkStart w:id="49" w:name="_Hlk10800547"/>
      <w:r w:rsidRPr="008268EB">
        <w:rPr>
          <w:rFonts w:ascii="Segoe UI" w:hAnsi="Segoe UI" w:cs="Segoe UI"/>
        </w:rPr>
        <w:t xml:space="preserve">At July 2019, there were 196 threatened species and 32 non-threatened migratory birds listed under the EPBC Act that are known or likely to occur within the Victorian RFA regions (Appendix A.2). </w:t>
      </w:r>
      <w:bookmarkEnd w:id="49"/>
      <w:r w:rsidRPr="008268EB">
        <w:rPr>
          <w:rFonts w:ascii="Segoe UI" w:hAnsi="Segoe UI" w:cs="Segoe UI"/>
        </w:rPr>
        <w:t xml:space="preserve">Almost all listed species (98.5 per cent) have a conservation advice and/or recovery plan to assist recovery. There are also 14 listed threatened ecological communities in the Victorian RFA regions listed under the EPBC Act (Appendix </w:t>
      </w:r>
      <w:r w:rsidRPr="008268EB">
        <w:rPr>
          <w:rFonts w:ascii="Segoe UI" w:hAnsi="Segoe UI" w:cs="Segoe UI"/>
        </w:rPr>
        <w:fldChar w:fldCharType="begin"/>
      </w:r>
      <w:r w:rsidRPr="008268EB">
        <w:rPr>
          <w:rFonts w:ascii="Segoe UI" w:hAnsi="Segoe UI" w:cs="Segoe UI"/>
        </w:rPr>
        <w:instrText xml:space="preserve"> REF _Ref26445465 \r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3</w:t>
      </w:r>
      <w:r w:rsidRPr="008268EB">
        <w:rPr>
          <w:rFonts w:ascii="Segoe UI" w:hAnsi="Segoe UI" w:cs="Segoe UI"/>
        </w:rPr>
        <w:fldChar w:fldCharType="end"/>
      </w:r>
      <w:r w:rsidRPr="008268EB">
        <w:rPr>
          <w:rFonts w:ascii="Segoe UI" w:hAnsi="Segoe UI" w:cs="Segoe UI"/>
        </w:rPr>
        <w:t>). All have conservation advices, recovery plans or both in place to assist in management and recovery.</w:t>
      </w:r>
    </w:p>
    <w:p w:rsidR="008268EB" w:rsidRPr="008268EB" w:rsidRDefault="008268EB" w:rsidP="008268EB">
      <w:pPr>
        <w:jc w:val="both"/>
        <w:rPr>
          <w:rFonts w:ascii="Segoe UI" w:hAnsi="Segoe UI" w:cs="Segoe UI"/>
        </w:rPr>
      </w:pPr>
      <w:r w:rsidRPr="008268EB">
        <w:rPr>
          <w:rFonts w:ascii="Segoe UI" w:hAnsi="Segoe UI" w:cs="Segoe UI"/>
        </w:rPr>
        <w:t xml:space="preserve">There are 14 listed threatening processes affecting threatened species in the Victorian RFA regions. National threat abatement plans have been prepared for most of the key threatening processes registered under the EPBC Act where a threat abatement plan was considered a feasible, effective or efficient way to abate the processes. </w:t>
      </w:r>
    </w:p>
    <w:p w:rsidR="008268EB" w:rsidRPr="008268EB" w:rsidRDefault="008268EB" w:rsidP="008268EB">
      <w:pPr>
        <w:jc w:val="both"/>
        <w:rPr>
          <w:rFonts w:ascii="Segoe UI" w:hAnsi="Segoe UI" w:cs="Segoe UI"/>
        </w:rPr>
      </w:pPr>
      <w:r w:rsidRPr="008268EB">
        <w:rPr>
          <w:rFonts w:ascii="Segoe UI" w:hAnsi="Segoe UI" w:cs="Segoe UI"/>
        </w:rPr>
        <w:t xml:space="preserve">At the commencement of EPBC Act the list of threatened species, ecological communities and threatening processes consisted only of those previously listed under the </w:t>
      </w:r>
      <w:r w:rsidRPr="008268EB">
        <w:rPr>
          <w:rFonts w:ascii="Segoe UI" w:hAnsi="Segoe UI" w:cs="Segoe UI"/>
          <w:i/>
        </w:rPr>
        <w:t>Endangered Species Protection Act</w:t>
      </w:r>
      <w:r w:rsidRPr="008268EB">
        <w:rPr>
          <w:rFonts w:ascii="Segoe UI" w:hAnsi="Segoe UI" w:cs="Segoe UI"/>
        </w:rPr>
        <w:t xml:space="preserve"> </w:t>
      </w:r>
      <w:r w:rsidRPr="008268EB">
        <w:rPr>
          <w:rFonts w:ascii="Segoe UI" w:hAnsi="Segoe UI" w:cs="Segoe UI"/>
          <w:i/>
        </w:rPr>
        <w:t>1992</w:t>
      </w:r>
      <w:r w:rsidRPr="008268EB">
        <w:rPr>
          <w:rFonts w:ascii="Segoe UI" w:hAnsi="Segoe UI" w:cs="Segoe UI"/>
          <w:iCs/>
        </w:rPr>
        <w:t xml:space="preserve"> (</w:t>
      </w:r>
      <w:proofErr w:type="spellStart"/>
      <w:r w:rsidRPr="008268EB">
        <w:rPr>
          <w:rFonts w:ascii="Segoe UI" w:hAnsi="Segoe UI" w:cs="Segoe UI"/>
          <w:iCs/>
        </w:rPr>
        <w:t>Cth</w:t>
      </w:r>
      <w:proofErr w:type="spellEnd"/>
      <w:r w:rsidRPr="008268EB">
        <w:rPr>
          <w:rFonts w:ascii="Segoe UI" w:hAnsi="Segoe UI" w:cs="Segoe UI"/>
          <w:iCs/>
        </w:rPr>
        <w:t xml:space="preserve">) (ESP Act). </w:t>
      </w:r>
      <w:r w:rsidRPr="008268EB">
        <w:rPr>
          <w:rFonts w:ascii="Segoe UI" w:hAnsi="Segoe UI" w:cs="Segoe UI"/>
        </w:rPr>
        <w:t xml:space="preserve">Since the commencement of the EPBC Act, 52 additional species known or likely to occur in the Victorian RFA regions have been listed as threatened under national legislation. </w:t>
      </w:r>
    </w:p>
    <w:p w:rsidR="008268EB" w:rsidRPr="008268EB" w:rsidRDefault="008268EB" w:rsidP="008268EB">
      <w:pPr>
        <w:keepNext/>
        <w:spacing w:before="240" w:after="240" w:line="240" w:lineRule="auto"/>
        <w:outlineLvl w:val="2"/>
        <w:rPr>
          <w:rFonts w:ascii="Segoe UI" w:hAnsi="Segoe UI" w:cs="Segoe UI"/>
          <w:b/>
          <w:color w:val="000000"/>
          <w:sz w:val="24"/>
          <w:szCs w:val="24"/>
        </w:rPr>
      </w:pPr>
      <w:bookmarkStart w:id="50" w:name="_Toc11768294"/>
      <w:bookmarkStart w:id="51" w:name="_Toc14418078"/>
      <w:bookmarkStart w:id="52" w:name="_Toc30491979"/>
      <w:bookmarkStart w:id="53" w:name="_Toc33002076"/>
      <w:r w:rsidRPr="008268EB">
        <w:rPr>
          <w:rFonts w:ascii="Segoe UI" w:hAnsi="Segoe UI" w:cs="Segoe UI"/>
          <w:b/>
          <w:color w:val="000000"/>
          <w:sz w:val="24"/>
          <w:szCs w:val="24"/>
        </w:rPr>
        <w:t>National legislation protecting Listed Species and Communities</w:t>
      </w:r>
      <w:bookmarkEnd w:id="50"/>
      <w:bookmarkEnd w:id="51"/>
      <w:bookmarkEnd w:id="52"/>
      <w:bookmarkEnd w:id="53"/>
      <w:r w:rsidRPr="008268EB">
        <w:rPr>
          <w:rFonts w:ascii="Segoe UI" w:hAnsi="Segoe UI" w:cs="Segoe UI"/>
          <w:b/>
          <w:color w:val="000000"/>
          <w:sz w:val="24"/>
          <w:szCs w:val="24"/>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After the Victorian RFAs were signed (1997–2000), new Commonwealth environmental legislation came into force that changed the definition and assessment of threatened species at the national level. The EPBC Act protects Australia’s native species and ecological communities by providing for the: </w:t>
      </w:r>
    </w:p>
    <w:p w:rsidR="008268EB" w:rsidRPr="00F30F0A" w:rsidRDefault="008268EB" w:rsidP="00F30F0A">
      <w:pPr>
        <w:pStyle w:val="ListParagraph"/>
        <w:numPr>
          <w:ilvl w:val="0"/>
          <w:numId w:val="50"/>
        </w:numPr>
        <w:ind w:left="709" w:hanging="425"/>
      </w:pPr>
      <w:r w:rsidRPr="00F30F0A">
        <w:t xml:space="preserve">identification and listing of threatened species and ecological communities </w:t>
      </w:r>
    </w:p>
    <w:p w:rsidR="008268EB" w:rsidRPr="00F30F0A" w:rsidRDefault="008268EB" w:rsidP="00F30F0A">
      <w:pPr>
        <w:pStyle w:val="ListParagraph"/>
        <w:numPr>
          <w:ilvl w:val="0"/>
          <w:numId w:val="50"/>
        </w:numPr>
        <w:ind w:left="709" w:hanging="425"/>
      </w:pPr>
      <w:r w:rsidRPr="00F30F0A">
        <w:t xml:space="preserve">development of conservation advice and, where appropriate, recovery plans for listed species and ecological communities </w:t>
      </w:r>
    </w:p>
    <w:p w:rsidR="008268EB" w:rsidRPr="00F30F0A" w:rsidRDefault="008268EB" w:rsidP="00F30F0A">
      <w:pPr>
        <w:pStyle w:val="ListParagraph"/>
        <w:numPr>
          <w:ilvl w:val="0"/>
          <w:numId w:val="50"/>
        </w:numPr>
        <w:ind w:left="709" w:hanging="425"/>
      </w:pPr>
      <w:r w:rsidRPr="00F30F0A">
        <w:t xml:space="preserve">development of a register of critical habitat identification </w:t>
      </w:r>
    </w:p>
    <w:p w:rsidR="008268EB" w:rsidRPr="00F30F0A" w:rsidRDefault="008268EB" w:rsidP="00F30F0A">
      <w:pPr>
        <w:pStyle w:val="ListParagraph"/>
        <w:numPr>
          <w:ilvl w:val="0"/>
          <w:numId w:val="50"/>
        </w:numPr>
        <w:ind w:left="709" w:hanging="425"/>
      </w:pPr>
      <w:r w:rsidRPr="00F30F0A">
        <w:t xml:space="preserve">recognition of key threatening processes </w:t>
      </w:r>
    </w:p>
    <w:p w:rsidR="008268EB" w:rsidRPr="00F30F0A" w:rsidRDefault="008268EB" w:rsidP="00F30F0A">
      <w:pPr>
        <w:pStyle w:val="ListParagraph"/>
        <w:numPr>
          <w:ilvl w:val="0"/>
          <w:numId w:val="50"/>
        </w:numPr>
        <w:ind w:left="709" w:hanging="425"/>
      </w:pPr>
      <w:r w:rsidRPr="00F30F0A">
        <w:t xml:space="preserve">development of threat abatement plans where appropriate </w:t>
      </w:r>
    </w:p>
    <w:p w:rsidR="008268EB" w:rsidRPr="00F30F0A" w:rsidRDefault="008268EB" w:rsidP="00F30F0A">
      <w:pPr>
        <w:pStyle w:val="ListParagraph"/>
        <w:numPr>
          <w:ilvl w:val="0"/>
          <w:numId w:val="50"/>
        </w:numPr>
        <w:ind w:left="709" w:hanging="425"/>
      </w:pPr>
      <w:r w:rsidRPr="00F30F0A">
        <w:t>implementation of environmental impact assessment processes for proposed actions with significant impacts to listed threatened species and ecological communities.</w:t>
      </w:r>
    </w:p>
    <w:p w:rsidR="008268EB" w:rsidRPr="008268EB" w:rsidRDefault="008268EB" w:rsidP="008268EB">
      <w:pPr>
        <w:keepNext/>
        <w:spacing w:before="120" w:after="120" w:line="240" w:lineRule="auto"/>
        <w:jc w:val="both"/>
        <w:outlineLvl w:val="3"/>
        <w:rPr>
          <w:rFonts w:ascii="Segoe UI" w:hAnsi="Segoe UI" w:cs="Segoe UI"/>
          <w:i/>
          <w:sz w:val="24"/>
          <w:szCs w:val="24"/>
        </w:rPr>
      </w:pPr>
      <w:bookmarkStart w:id="54" w:name="_Toc11768295"/>
      <w:bookmarkStart w:id="55" w:name="_Toc14418079"/>
      <w:r w:rsidRPr="008268EB">
        <w:rPr>
          <w:rFonts w:ascii="Segoe UI" w:hAnsi="Segoe UI" w:cs="Segoe UI"/>
          <w:i/>
          <w:sz w:val="24"/>
          <w:szCs w:val="24"/>
        </w:rPr>
        <w:t>Listing and protection processes</w:t>
      </w:r>
      <w:bookmarkEnd w:id="54"/>
      <w:bookmarkEnd w:id="55"/>
      <w:r w:rsidRPr="008268EB">
        <w:rPr>
          <w:rFonts w:ascii="Segoe UI" w:hAnsi="Segoe UI" w:cs="Segoe UI"/>
          <w:i/>
          <w:sz w:val="24"/>
          <w:szCs w:val="24"/>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The listing of species or ecological communities recognises their long-term survival is under threat. The national listing of species and ecological communities follows a rigorous scientific assessment process and involves consultation with stakeholders including scientific experts and the public. Advice on the eligibility of a species or ecological community for listing is provided to the responsible Australian Government minister by the independent Threatened Species Scientific Committee. </w:t>
      </w:r>
    </w:p>
    <w:p w:rsidR="008268EB" w:rsidRPr="008268EB" w:rsidRDefault="008268EB" w:rsidP="008268EB">
      <w:pPr>
        <w:jc w:val="both"/>
        <w:rPr>
          <w:rFonts w:ascii="Segoe UI" w:hAnsi="Segoe UI" w:cs="Segoe UI"/>
        </w:rPr>
      </w:pPr>
      <w:r w:rsidRPr="008268EB">
        <w:rPr>
          <w:rFonts w:ascii="Segoe UI" w:hAnsi="Segoe UI" w:cs="Segoe UI"/>
        </w:rPr>
        <w:t>Once listed, a threatened species or ecological community is recognised as an MNES and must be considered through assessment and approval provisions of the EPBC Act.</w:t>
      </w:r>
    </w:p>
    <w:p w:rsidR="008268EB" w:rsidRPr="008268EB" w:rsidRDefault="008268EB" w:rsidP="008268EB">
      <w:pPr>
        <w:keepNext/>
        <w:spacing w:before="120" w:after="120" w:line="240" w:lineRule="auto"/>
        <w:jc w:val="both"/>
        <w:outlineLvl w:val="3"/>
        <w:rPr>
          <w:rFonts w:ascii="Segoe UI" w:hAnsi="Segoe UI" w:cs="Segoe UI"/>
          <w:i/>
          <w:sz w:val="24"/>
          <w:szCs w:val="24"/>
        </w:rPr>
      </w:pPr>
      <w:bookmarkStart w:id="56" w:name="_Toc11768296"/>
      <w:bookmarkStart w:id="57" w:name="_Toc14418080"/>
      <w:r w:rsidRPr="008268EB">
        <w:rPr>
          <w:rFonts w:ascii="Segoe UI" w:hAnsi="Segoe UI" w:cs="Segoe UI"/>
          <w:i/>
          <w:sz w:val="24"/>
          <w:szCs w:val="24"/>
        </w:rPr>
        <w:t>Conservation advice and recovery plans</w:t>
      </w:r>
      <w:bookmarkEnd w:id="56"/>
      <w:bookmarkEnd w:id="57"/>
      <w:r w:rsidRPr="008268EB">
        <w:rPr>
          <w:rFonts w:ascii="Segoe UI" w:hAnsi="Segoe UI" w:cs="Segoe UI"/>
          <w:i/>
          <w:sz w:val="24"/>
          <w:szCs w:val="24"/>
        </w:rPr>
        <w:t xml:space="preserve"> </w:t>
      </w:r>
    </w:p>
    <w:p w:rsidR="008268EB" w:rsidRPr="008268EB" w:rsidRDefault="008268EB" w:rsidP="008268EB">
      <w:pPr>
        <w:jc w:val="both"/>
        <w:rPr>
          <w:rFonts w:ascii="Segoe UI" w:hAnsi="Segoe UI" w:cs="Segoe UI"/>
        </w:rPr>
      </w:pPr>
      <w:r w:rsidRPr="008268EB">
        <w:rPr>
          <w:rFonts w:ascii="Segoe UI" w:hAnsi="Segoe UI" w:cs="Segoe UI"/>
        </w:rPr>
        <w:t>Since 2007, a conservation advice is required at the time of listing a threatened species or ecological community. Conservation advices outline the eligibility for listing, and immediate priorities for conservation, research and recovery (</w:t>
      </w:r>
      <w:proofErr w:type="spellStart"/>
      <w:r w:rsidRPr="008268EB">
        <w:rPr>
          <w:rFonts w:ascii="Segoe UI" w:hAnsi="Segoe UI" w:cs="Segoe UI"/>
        </w:rPr>
        <w:t>DoEE</w:t>
      </w:r>
      <w:proofErr w:type="spellEnd"/>
      <w:r w:rsidRPr="008268EB">
        <w:rPr>
          <w:rFonts w:ascii="Segoe UI" w:hAnsi="Segoe UI" w:cs="Segoe UI"/>
        </w:rPr>
        <w:t xml:space="preserve">, n.d.-a). </w:t>
      </w:r>
    </w:p>
    <w:p w:rsidR="008268EB" w:rsidRPr="008268EB" w:rsidRDefault="008268EB" w:rsidP="008268EB">
      <w:pPr>
        <w:jc w:val="both"/>
        <w:rPr>
          <w:rFonts w:ascii="Segoe UI" w:hAnsi="Segoe UI" w:cs="Segoe UI"/>
        </w:rPr>
      </w:pPr>
      <w:r w:rsidRPr="008268EB">
        <w:rPr>
          <w:rFonts w:ascii="Segoe UI" w:hAnsi="Segoe UI" w:cs="Segoe UI"/>
        </w:rPr>
        <w:t>For some species and ecological communities, a more comprehensive recovery plan may also be developed to guide recovery action. Recovery plans set out the research and management actions that are necessary to stop the decline of, and support the recovery of, listed threatened species and ecological communities (</w:t>
      </w:r>
      <w:proofErr w:type="spellStart"/>
      <w:r w:rsidRPr="008268EB">
        <w:rPr>
          <w:rFonts w:ascii="Segoe UI" w:hAnsi="Segoe UI" w:cs="Segoe UI"/>
        </w:rPr>
        <w:t>DoEE</w:t>
      </w:r>
      <w:proofErr w:type="spellEnd"/>
      <w:r w:rsidRPr="008268EB">
        <w:rPr>
          <w:rFonts w:ascii="Segoe UI" w:hAnsi="Segoe UI" w:cs="Segoe UI"/>
        </w:rPr>
        <w:t xml:space="preserve">, n.d.-c). The aim of a recovery plan is to assist the long-term survival of the species or ecological community in its natural environment. </w:t>
      </w:r>
    </w:p>
    <w:p w:rsidR="008268EB" w:rsidRPr="008268EB" w:rsidRDefault="008268EB" w:rsidP="008268EB">
      <w:pPr>
        <w:keepNext/>
        <w:spacing w:before="120" w:after="120" w:line="240" w:lineRule="auto"/>
        <w:jc w:val="both"/>
        <w:outlineLvl w:val="3"/>
        <w:rPr>
          <w:rFonts w:ascii="Segoe UI" w:hAnsi="Segoe UI" w:cs="Segoe UI"/>
          <w:i/>
          <w:sz w:val="24"/>
          <w:szCs w:val="24"/>
        </w:rPr>
      </w:pPr>
      <w:bookmarkStart w:id="58" w:name="_Toc11768297"/>
      <w:bookmarkStart w:id="59" w:name="_Toc14418081"/>
      <w:r w:rsidRPr="008268EB">
        <w:rPr>
          <w:rFonts w:ascii="Segoe UI" w:hAnsi="Segoe UI" w:cs="Segoe UI"/>
          <w:i/>
          <w:sz w:val="24"/>
          <w:szCs w:val="24"/>
        </w:rPr>
        <w:t>Key threatening processes and threat abatement plans</w:t>
      </w:r>
      <w:bookmarkEnd w:id="58"/>
      <w:bookmarkEnd w:id="59"/>
      <w:r w:rsidRPr="008268EB">
        <w:rPr>
          <w:rFonts w:ascii="Segoe UI" w:hAnsi="Segoe UI" w:cs="Segoe UI"/>
          <w:i/>
          <w:sz w:val="24"/>
          <w:szCs w:val="24"/>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The way that key threatening processes are listed is similar to the listing of species and ecological communities. Once a key threatening process is listed under the EPBC Act, a threat abatement plan is developed if it is shown to be a ‘feasible, effective and efficient way’ to abate the threatening process. Threat abatement plans provide for the research, management, and any other actions necessary to reduce the impact of a listed key threatening process on native species and ecological communities. </w:t>
      </w:r>
    </w:p>
    <w:p w:rsidR="008268EB" w:rsidRPr="008268EB" w:rsidRDefault="008268EB" w:rsidP="008268EB">
      <w:pPr>
        <w:jc w:val="both"/>
        <w:rPr>
          <w:rFonts w:ascii="Segoe UI" w:hAnsi="Segoe UI" w:cs="Segoe UI"/>
        </w:rPr>
      </w:pPr>
      <w:r w:rsidRPr="008268EB">
        <w:rPr>
          <w:rFonts w:ascii="Segoe UI" w:hAnsi="Segoe UI" w:cs="Segoe UI"/>
        </w:rPr>
        <w:t>As with recovery plans, a threat abatement plan can be made by the minister alone or jointly with relevant states and territories, or the Australian Government minister can adopt a state or territory plan. Before a plan is made or adopted, there must be public consultation and advice from the Threatened Species Scientific Committee about the plan.</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 xml:space="preserve">Interaction between the RFAs and the EPBC Act </w:t>
      </w:r>
    </w:p>
    <w:p w:rsidR="008268EB" w:rsidRPr="008268EB" w:rsidRDefault="008268EB" w:rsidP="008268EB">
      <w:pPr>
        <w:jc w:val="both"/>
        <w:rPr>
          <w:rFonts w:ascii="Segoe UI" w:hAnsi="Segoe UI" w:cs="Segoe UI"/>
        </w:rPr>
      </w:pPr>
      <w:r w:rsidRPr="008268EB">
        <w:rPr>
          <w:rFonts w:ascii="Segoe UI" w:hAnsi="Segoe UI" w:cs="Segoe UI"/>
        </w:rPr>
        <w:t xml:space="preserve">Consistent with the objectives of the EPBC Act, the RFAs provide for protection of the environment, promote ecologically sustainable development, promote the conservation of biodiversity and provide for the protection of conservation of heritage. </w:t>
      </w:r>
    </w:p>
    <w:p w:rsidR="008268EB" w:rsidRPr="008268EB" w:rsidRDefault="008268EB" w:rsidP="008268EB">
      <w:pPr>
        <w:jc w:val="both"/>
        <w:rPr>
          <w:rFonts w:ascii="Segoe UI" w:hAnsi="Segoe UI" w:cs="Segoe UI"/>
        </w:rPr>
      </w:pPr>
      <w:r w:rsidRPr="008268EB">
        <w:rPr>
          <w:rFonts w:ascii="Segoe UI" w:hAnsi="Segoe UI" w:cs="Segoe UI"/>
        </w:rPr>
        <w:t>Section 38 of the EPBC Act streamlines forest planning processes by exempting forest operations in RFA areas from assessment and approval processes under the Act. The rationale for this approach is that the EPBC Act recognises ‘that in each RFA region a comprehensive assessment … has been, undertaken to address the environmental, economic and social impacts of forestry operations’ (Explanatory Memorandum, Environment Protection and Biodiversity Conservation Bill 1999 (</w:t>
      </w:r>
      <w:proofErr w:type="spellStart"/>
      <w:r w:rsidRPr="008268EB">
        <w:rPr>
          <w:rFonts w:ascii="Segoe UI" w:hAnsi="Segoe UI" w:cs="Segoe UI"/>
        </w:rPr>
        <w:t>Cth</w:t>
      </w:r>
      <w:proofErr w:type="spellEnd"/>
      <w:r w:rsidRPr="008268EB">
        <w:rPr>
          <w:rFonts w:ascii="Segoe UI" w:hAnsi="Segoe UI" w:cs="Segoe UI"/>
        </w:rPr>
        <w:t>), para. 113). This means forestry operations that are undertaken in accordance with an RFA do not require approval for the purposes of any provision in Part 3 of the EPBC Act (Explanatory Memorandum, Environment Protection and Biodiversity Conservation Bill 1999 (</w:t>
      </w:r>
      <w:proofErr w:type="spellStart"/>
      <w:r w:rsidRPr="008268EB">
        <w:rPr>
          <w:rFonts w:ascii="Segoe UI" w:hAnsi="Segoe UI" w:cs="Segoe UI"/>
        </w:rPr>
        <w:t>Cth</w:t>
      </w:r>
      <w:proofErr w:type="spellEnd"/>
      <w:r w:rsidRPr="008268EB">
        <w:rPr>
          <w:rFonts w:ascii="Segoe UI" w:hAnsi="Segoe UI" w:cs="Segoe UI"/>
        </w:rPr>
        <w:t xml:space="preserve">), para. 112). The exceptions are forestry operations within World Heritage properties or Ramsar wetland sites, where assessment and approval is required. </w:t>
      </w:r>
    </w:p>
    <w:p w:rsidR="008268EB" w:rsidRPr="008268EB" w:rsidRDefault="008268EB" w:rsidP="008268EB">
      <w:pPr>
        <w:keepNext/>
        <w:spacing w:before="240" w:after="240" w:line="240" w:lineRule="auto"/>
        <w:outlineLvl w:val="2"/>
        <w:rPr>
          <w:rFonts w:ascii="Segoe UI" w:hAnsi="Segoe UI" w:cs="Segoe UI"/>
          <w:b/>
          <w:color w:val="000000"/>
          <w:sz w:val="24"/>
          <w:szCs w:val="24"/>
        </w:rPr>
      </w:pPr>
      <w:bookmarkStart w:id="60" w:name="_Toc30491980"/>
      <w:bookmarkStart w:id="61" w:name="_Toc33002077"/>
      <w:r w:rsidRPr="008268EB">
        <w:rPr>
          <w:rFonts w:ascii="Segoe UI" w:hAnsi="Segoe UI" w:cs="Segoe UI"/>
          <w:b/>
          <w:color w:val="000000"/>
          <w:sz w:val="24"/>
          <w:szCs w:val="24"/>
        </w:rPr>
        <w:t xml:space="preserve">Victorian legislation protecting listed species and </w:t>
      </w:r>
      <w:bookmarkEnd w:id="60"/>
      <w:r w:rsidRPr="008268EB">
        <w:rPr>
          <w:rFonts w:ascii="Segoe UI" w:hAnsi="Segoe UI" w:cs="Segoe UI"/>
          <w:b/>
          <w:color w:val="000000"/>
          <w:sz w:val="24"/>
          <w:szCs w:val="24"/>
        </w:rPr>
        <w:t>communities</w:t>
      </w:r>
      <w:bookmarkEnd w:id="61"/>
    </w:p>
    <w:p w:rsidR="008268EB" w:rsidRPr="008268EB" w:rsidRDefault="008268EB" w:rsidP="008268EB">
      <w:pPr>
        <w:jc w:val="both"/>
        <w:rPr>
          <w:rFonts w:ascii="Segoe UI" w:hAnsi="Segoe UI" w:cs="Segoe UI"/>
        </w:rPr>
      </w:pPr>
      <w:r w:rsidRPr="008268EB">
        <w:rPr>
          <w:rFonts w:ascii="Segoe UI" w:hAnsi="Segoe UI" w:cs="Segoe UI"/>
        </w:rPr>
        <w:t>The FFG Act is the key piece of Victorian legislation for the conservation of biodiversity, including threatened species and communities. The FFG Act operates across all land tenures, including private land, although the application of some provisions on private land is limited. The FFG Act aims to conserve all of Victoria’s native plants and animals, to ensure that any use of them by humans is sustainable, and to ensure that the genetic diversity of plants and animals is maintained. It establishes legal and administrative structures to enable and promote the conservation of Victoria's native flora and fauna and provides for the management of potentially threatening processes. The FFG Act establishes a range of mechanisms to achieve this objective, including:</w:t>
      </w:r>
    </w:p>
    <w:p w:rsidR="008268EB" w:rsidRPr="008268EB" w:rsidRDefault="008268EB" w:rsidP="008268EB">
      <w:pPr>
        <w:numPr>
          <w:ilvl w:val="0"/>
          <w:numId w:val="40"/>
        </w:numPr>
        <w:spacing w:before="120" w:after="120" w:line="240" w:lineRule="auto"/>
        <w:contextualSpacing/>
        <w:rPr>
          <w:rFonts w:ascii="Segoe UI" w:hAnsi="Segoe UI" w:cs="Segoe UI"/>
        </w:rPr>
      </w:pPr>
      <w:r w:rsidRPr="008268EB">
        <w:rPr>
          <w:rFonts w:ascii="Segoe UI" w:hAnsi="Segoe UI" w:cs="Segoe UI"/>
        </w:rPr>
        <w:t>developing an overarching strategy for Victoria’s biodiversity</w:t>
      </w:r>
    </w:p>
    <w:p w:rsidR="008268EB" w:rsidRPr="008268EB" w:rsidRDefault="008268EB" w:rsidP="008268EB">
      <w:pPr>
        <w:numPr>
          <w:ilvl w:val="0"/>
          <w:numId w:val="40"/>
        </w:numPr>
        <w:spacing w:before="120" w:after="0" w:line="240" w:lineRule="auto"/>
        <w:contextualSpacing/>
        <w:rPr>
          <w:rFonts w:ascii="Segoe UI" w:hAnsi="Segoe UI" w:cs="Segoe UI"/>
        </w:rPr>
      </w:pPr>
      <w:r w:rsidRPr="008268EB">
        <w:rPr>
          <w:rFonts w:ascii="Segoe UI" w:hAnsi="Segoe UI" w:cs="Segoe UI"/>
        </w:rPr>
        <w:t>maintaining lists of:</w:t>
      </w:r>
    </w:p>
    <w:p w:rsidR="008268EB" w:rsidRPr="008268EB" w:rsidRDefault="008268EB" w:rsidP="008268EB">
      <w:pPr>
        <w:numPr>
          <w:ilvl w:val="1"/>
          <w:numId w:val="40"/>
        </w:numPr>
        <w:spacing w:before="120" w:after="120" w:line="240" w:lineRule="auto"/>
        <w:contextualSpacing/>
        <w:rPr>
          <w:rFonts w:ascii="Segoe UI" w:hAnsi="Segoe UI" w:cs="Segoe UI"/>
        </w:rPr>
      </w:pPr>
      <w:r w:rsidRPr="008268EB">
        <w:rPr>
          <w:rFonts w:ascii="Segoe UI" w:hAnsi="Segoe UI" w:cs="Segoe UI"/>
        </w:rPr>
        <w:t>threatened species and communities</w:t>
      </w:r>
    </w:p>
    <w:p w:rsidR="008268EB" w:rsidRPr="008268EB" w:rsidRDefault="008268EB" w:rsidP="008268EB">
      <w:pPr>
        <w:numPr>
          <w:ilvl w:val="1"/>
          <w:numId w:val="40"/>
        </w:numPr>
        <w:spacing w:before="120" w:after="0" w:line="240" w:lineRule="auto"/>
        <w:contextualSpacing/>
        <w:rPr>
          <w:rFonts w:ascii="Segoe UI" w:hAnsi="Segoe UI" w:cs="Segoe UI"/>
        </w:rPr>
      </w:pPr>
      <w:r w:rsidRPr="008268EB">
        <w:rPr>
          <w:rFonts w:ascii="Segoe UI" w:hAnsi="Segoe UI" w:cs="Segoe UI"/>
        </w:rPr>
        <w:t>potentially threatening processes</w:t>
      </w:r>
    </w:p>
    <w:p w:rsidR="008268EB" w:rsidRPr="008268EB" w:rsidRDefault="008268EB" w:rsidP="008268EB">
      <w:pPr>
        <w:numPr>
          <w:ilvl w:val="0"/>
          <w:numId w:val="40"/>
        </w:numPr>
        <w:spacing w:before="120" w:after="120" w:line="240" w:lineRule="auto"/>
        <w:contextualSpacing/>
        <w:rPr>
          <w:rFonts w:ascii="Segoe UI" w:hAnsi="Segoe UI" w:cs="Segoe UI"/>
        </w:rPr>
      </w:pPr>
      <w:r w:rsidRPr="008268EB">
        <w:rPr>
          <w:rFonts w:ascii="Segoe UI" w:hAnsi="Segoe UI" w:cs="Segoe UI"/>
        </w:rPr>
        <w:t>preparing action statements for listed items</w:t>
      </w:r>
    </w:p>
    <w:p w:rsidR="008268EB" w:rsidRPr="008268EB" w:rsidRDefault="008268EB" w:rsidP="008268EB">
      <w:pPr>
        <w:numPr>
          <w:ilvl w:val="0"/>
          <w:numId w:val="40"/>
        </w:numPr>
        <w:spacing w:before="120" w:after="120" w:line="240" w:lineRule="auto"/>
        <w:contextualSpacing/>
        <w:rPr>
          <w:rFonts w:ascii="Segoe UI" w:hAnsi="Segoe UI" w:cs="Segoe UI"/>
        </w:rPr>
      </w:pPr>
      <w:r w:rsidRPr="008268EB">
        <w:rPr>
          <w:rFonts w:ascii="Segoe UI" w:hAnsi="Segoe UI" w:cs="Segoe UI"/>
        </w:rPr>
        <w:t xml:space="preserve">declaring critical habitat </w:t>
      </w:r>
    </w:p>
    <w:p w:rsidR="008268EB" w:rsidRPr="008268EB" w:rsidRDefault="008268EB" w:rsidP="008268EB">
      <w:pPr>
        <w:numPr>
          <w:ilvl w:val="0"/>
          <w:numId w:val="40"/>
        </w:numPr>
        <w:spacing w:before="120" w:after="120" w:line="240" w:lineRule="auto"/>
        <w:contextualSpacing/>
        <w:rPr>
          <w:rFonts w:ascii="Segoe UI" w:hAnsi="Segoe UI" w:cs="Segoe UI"/>
        </w:rPr>
      </w:pPr>
      <w:r w:rsidRPr="008268EB">
        <w:rPr>
          <w:rFonts w:ascii="Segoe UI" w:hAnsi="Segoe UI" w:cs="Segoe UI"/>
        </w:rPr>
        <w:t xml:space="preserve">making interim conservation orders to protect critical habitat </w:t>
      </w:r>
    </w:p>
    <w:p w:rsidR="008268EB" w:rsidRPr="008268EB" w:rsidRDefault="008268EB" w:rsidP="008268EB">
      <w:pPr>
        <w:numPr>
          <w:ilvl w:val="0"/>
          <w:numId w:val="40"/>
        </w:numPr>
        <w:spacing w:before="120" w:after="120" w:line="240" w:lineRule="auto"/>
        <w:contextualSpacing/>
        <w:rPr>
          <w:rFonts w:ascii="Segoe UI" w:hAnsi="Segoe UI" w:cs="Segoe UI"/>
        </w:rPr>
      </w:pPr>
      <w:r w:rsidRPr="008268EB">
        <w:rPr>
          <w:rFonts w:ascii="Segoe UI" w:hAnsi="Segoe UI" w:cs="Segoe UI"/>
        </w:rPr>
        <w:t>placing a duty on public authorities to have regard to objectives of the Act in their operations</w:t>
      </w:r>
    </w:p>
    <w:p w:rsidR="008268EB" w:rsidRPr="00F30F0A" w:rsidRDefault="008268EB" w:rsidP="00F30F0A">
      <w:pPr>
        <w:pStyle w:val="ListParagraph"/>
        <w:numPr>
          <w:ilvl w:val="0"/>
          <w:numId w:val="40"/>
        </w:numPr>
      </w:pPr>
      <w:r w:rsidRPr="00F30F0A">
        <w:t>requiring authorisation for activities that involve the handling of protected flora and threatened fish.</w:t>
      </w:r>
    </w:p>
    <w:p w:rsidR="008268EB" w:rsidRPr="008268EB" w:rsidRDefault="008268EB" w:rsidP="008268EB">
      <w:pPr>
        <w:spacing w:before="240"/>
        <w:jc w:val="both"/>
        <w:rPr>
          <w:rFonts w:ascii="Segoe UI" w:hAnsi="Segoe UI" w:cs="Segoe UI"/>
        </w:rPr>
      </w:pPr>
      <w:r w:rsidRPr="008268EB">
        <w:rPr>
          <w:rFonts w:ascii="Segoe UI" w:hAnsi="Segoe UI" w:cs="Segoe UI"/>
          <w:i/>
        </w:rPr>
        <w:t>Protecting Victoria’s environment –</w:t>
      </w:r>
      <w:r w:rsidRPr="008268EB">
        <w:rPr>
          <w:rFonts w:ascii="Segoe UI" w:hAnsi="Segoe UI" w:cs="Segoe UI"/>
        </w:rPr>
        <w:t xml:space="preserve"> </w:t>
      </w:r>
      <w:r w:rsidRPr="008268EB">
        <w:rPr>
          <w:rFonts w:ascii="Segoe UI" w:hAnsi="Segoe UI" w:cs="Segoe UI"/>
          <w:i/>
        </w:rPr>
        <w:t>biodiversity 2037</w:t>
      </w:r>
      <w:r w:rsidRPr="008268EB">
        <w:rPr>
          <w:rFonts w:ascii="Segoe UI" w:hAnsi="Segoe UI" w:cs="Segoe UI"/>
        </w:rPr>
        <w:t xml:space="preserve"> was published in 2017 as the new Flora and Fauna Guarantee Strategy for the purposes of section 17 of the FFG Act. More detail is provided in the following section.</w:t>
      </w:r>
    </w:p>
    <w:p w:rsidR="008268EB" w:rsidRPr="008268EB" w:rsidRDefault="008268EB" w:rsidP="008268EB">
      <w:pPr>
        <w:jc w:val="both"/>
        <w:rPr>
          <w:rFonts w:ascii="Segoe UI" w:hAnsi="Segoe UI" w:cs="Segoe UI"/>
        </w:rPr>
      </w:pPr>
      <w:r w:rsidRPr="008268EB">
        <w:rPr>
          <w:rFonts w:ascii="Segoe UI" w:hAnsi="Segoe UI" w:cs="Segoe UI"/>
        </w:rPr>
        <w:t>At June 2019, the Threatened List and Processes List include 647 threatened species, 41 threatened communities and 43 potentially threatening processes. The listing process is driven by public nominations and overseen by the Victorian independent Scientific Advisory Committee, which makes recommendations to the relevant ministers as to the validity and eligibility of items nominated for listing (or delisting).</w:t>
      </w:r>
    </w:p>
    <w:p w:rsidR="008268EB" w:rsidRPr="008268EB" w:rsidRDefault="008268EB" w:rsidP="008268EB">
      <w:pPr>
        <w:jc w:val="both"/>
        <w:rPr>
          <w:rFonts w:ascii="Segoe UI" w:hAnsi="Segoe UI" w:cs="Segoe UI"/>
        </w:rPr>
      </w:pPr>
      <w:r w:rsidRPr="008268EB">
        <w:rPr>
          <w:rFonts w:ascii="Segoe UI" w:hAnsi="Segoe UI" w:cs="Segoe UI"/>
        </w:rPr>
        <w:t>Under the FFG Act (s. 19), it is a statutory requirement to prepare action statements for all listed species, communities and potentially threatening processes. The Secretary must prepare an action statement as soon as possible after an item has been listed. Action statements must set out what has been done to conserve and manage the item and what is intended to be done. They may include information on what needs to be done. In preparing or amending an action statement, the Secretary must consider any management advice given by the Scientific Advisory Committee and the Victorian Catchment Management Council and must consider any other relevant nature conservation, social and economic matters.</w:t>
      </w:r>
    </w:p>
    <w:p w:rsidR="008268EB" w:rsidRPr="008268EB" w:rsidRDefault="008268EB" w:rsidP="008268EB">
      <w:pPr>
        <w:jc w:val="both"/>
        <w:rPr>
          <w:rFonts w:ascii="Segoe UI" w:hAnsi="Segoe UI" w:cs="Segoe UI"/>
        </w:rPr>
      </w:pPr>
      <w:r w:rsidRPr="008268EB">
        <w:rPr>
          <w:rFonts w:ascii="Segoe UI" w:hAnsi="Segoe UI" w:cs="Segoe UI"/>
        </w:rPr>
        <w:t>Action statements have been prepared for 276 listed species, although there are many species with advanced drafts. Action statements do not formally expire; however, many of the current action statements are more than 10 years old. Action statements for forest</w:t>
      </w:r>
      <w:r w:rsidRPr="008268EB">
        <w:rPr>
          <w:rFonts w:ascii="Segoe UI" w:hAnsi="Segoe UI" w:cs="Segoe UI"/>
        </w:rPr>
        <w:noBreakHyphen/>
        <w:t xml:space="preserve">dependent threatened species typically contain intended management actions that require the establishment of timber harvesting exclusion zones or modified harvesting procedures.  </w:t>
      </w:r>
    </w:p>
    <w:p w:rsidR="008268EB" w:rsidRPr="008268EB" w:rsidRDefault="008268EB" w:rsidP="008268EB">
      <w:pPr>
        <w:jc w:val="both"/>
        <w:rPr>
          <w:rFonts w:ascii="Segoe UI" w:hAnsi="Segoe UI" w:cs="Segoe UI"/>
        </w:rPr>
      </w:pPr>
      <w:r w:rsidRPr="008268EB">
        <w:rPr>
          <w:rFonts w:ascii="Segoe UI" w:hAnsi="Segoe UI" w:cs="Segoe UI"/>
        </w:rPr>
        <w:t xml:space="preserve">Actions contained within individual action statements, such as prescriptions requiring the establishment of Special Protection Zones where a Leadbeater’s Possum colony is detected, may become a mandatory prescription through incorporation into the </w:t>
      </w:r>
      <w:r w:rsidRPr="008268EB">
        <w:rPr>
          <w:rFonts w:ascii="Segoe UI" w:hAnsi="Segoe UI" w:cs="Segoe UI"/>
          <w:i/>
        </w:rPr>
        <w:t xml:space="preserve">Code of Practice for Timber Production 2014 </w:t>
      </w:r>
      <w:r w:rsidRPr="008268EB">
        <w:rPr>
          <w:rFonts w:ascii="Segoe UI" w:hAnsi="Segoe UI" w:cs="Segoe UI"/>
        </w:rPr>
        <w:t>(the Code). All prescriptions outlined in the Code are required to be complied with during timber harvesting operations in Victoria.</w:t>
      </w:r>
    </w:p>
    <w:p w:rsidR="008268EB" w:rsidRPr="008268EB" w:rsidRDefault="008268EB" w:rsidP="008268EB">
      <w:pPr>
        <w:jc w:val="both"/>
        <w:rPr>
          <w:rFonts w:ascii="Segoe UI" w:hAnsi="Segoe UI" w:cs="Segoe UI"/>
        </w:rPr>
      </w:pPr>
      <w:r w:rsidRPr="008268EB">
        <w:rPr>
          <w:rFonts w:ascii="Segoe UI" w:hAnsi="Segoe UI" w:cs="Segoe UI"/>
        </w:rPr>
        <w:t xml:space="preserve">Other relevant Victorian legislation protecting Listed Species and Communities includes: </w:t>
      </w:r>
    </w:p>
    <w:p w:rsidR="008268EB" w:rsidRPr="008268EB" w:rsidRDefault="008268EB" w:rsidP="00F30F0A">
      <w:pPr>
        <w:numPr>
          <w:ilvl w:val="0"/>
          <w:numId w:val="41"/>
        </w:numPr>
        <w:spacing w:before="120" w:after="120" w:line="240" w:lineRule="auto"/>
        <w:ind w:left="709" w:hanging="425"/>
        <w:contextualSpacing/>
        <w:rPr>
          <w:rFonts w:ascii="Segoe UI" w:hAnsi="Segoe UI" w:cs="Segoe UI"/>
        </w:rPr>
      </w:pPr>
      <w:r w:rsidRPr="008268EB">
        <w:rPr>
          <w:rFonts w:ascii="Segoe UI" w:hAnsi="Segoe UI" w:cs="Segoe UI"/>
        </w:rPr>
        <w:t xml:space="preserve">The </w:t>
      </w:r>
      <w:r w:rsidRPr="008268EB">
        <w:rPr>
          <w:rFonts w:ascii="Segoe UI" w:hAnsi="Segoe UI" w:cs="Segoe UI"/>
          <w:i/>
        </w:rPr>
        <w:t>National Parks Act 1975</w:t>
      </w:r>
      <w:r w:rsidRPr="008268EB">
        <w:rPr>
          <w:rFonts w:ascii="Segoe UI" w:hAnsi="Segoe UI" w:cs="Segoe UI"/>
        </w:rPr>
        <w:t xml:space="preserve">, which establishes the statutory basis for the protection, use and management of a system of more than 100 national and other parks in Victoria covering over 3 million hectares (comprising both forests and non-forest vegetation). National parks generally include areas of national significance, outstanding natural values and diverse land types. Together with state and wilderness parks (and nature conservation reserves established under the </w:t>
      </w:r>
      <w:r w:rsidRPr="008268EB">
        <w:rPr>
          <w:rFonts w:ascii="Segoe UI" w:hAnsi="Segoe UI" w:cs="Segoe UI"/>
          <w:i/>
        </w:rPr>
        <w:t>Crown Land (Reserves) Act 1978</w:t>
      </w:r>
      <w:r w:rsidRPr="008268EB">
        <w:rPr>
          <w:rFonts w:ascii="Segoe UI" w:hAnsi="Segoe UI" w:cs="Segoe UI"/>
        </w:rPr>
        <w:t>), national parks contribute significantly to the representativeness of EVCs and biodiversity across the state and make significant contributions to Victoria’s CAR reserve system.</w:t>
      </w:r>
    </w:p>
    <w:p w:rsidR="008268EB" w:rsidRPr="008268EB" w:rsidRDefault="008268EB" w:rsidP="00F30F0A">
      <w:pPr>
        <w:numPr>
          <w:ilvl w:val="0"/>
          <w:numId w:val="41"/>
        </w:numPr>
        <w:spacing w:before="120" w:after="120" w:line="240" w:lineRule="auto"/>
        <w:ind w:left="709" w:hanging="425"/>
        <w:contextualSpacing/>
        <w:rPr>
          <w:rFonts w:ascii="Segoe UI" w:hAnsi="Segoe UI" w:cs="Segoe UI"/>
        </w:rPr>
      </w:pPr>
      <w:r w:rsidRPr="008268EB">
        <w:rPr>
          <w:rFonts w:ascii="Segoe UI" w:hAnsi="Segoe UI" w:cs="Segoe UI"/>
        </w:rPr>
        <w:t xml:space="preserve">The </w:t>
      </w:r>
      <w:r w:rsidRPr="008268EB">
        <w:rPr>
          <w:rFonts w:ascii="Segoe UI" w:hAnsi="Segoe UI" w:cs="Segoe UI"/>
          <w:i/>
        </w:rPr>
        <w:t>Wildlife Act 1975</w:t>
      </w:r>
      <w:r w:rsidRPr="008268EB">
        <w:rPr>
          <w:rFonts w:ascii="Segoe UI" w:hAnsi="Segoe UI" w:cs="Segoe UI"/>
        </w:rPr>
        <w:t xml:space="preserve"> regulates the taking, trading and keeping of wildlife. Under this Act, it is an offence to hunt, take or destroy wildlife – including threatened species – without authorisation. </w:t>
      </w:r>
    </w:p>
    <w:p w:rsidR="008268EB" w:rsidRPr="008268EB" w:rsidRDefault="008268EB" w:rsidP="008268EB">
      <w:pPr>
        <w:rPr>
          <w:rFonts w:ascii="Segoe UI" w:hAnsi="Segoe UI" w:cs="Segoe UI"/>
        </w:rPr>
      </w:pPr>
      <w:r w:rsidRPr="008268EB">
        <w:rPr>
          <w:rFonts w:ascii="Segoe UI" w:hAnsi="Segoe UI" w:cs="Segoe UI"/>
        </w:rPr>
        <w:t xml:space="preserve">The </w:t>
      </w:r>
      <w:r w:rsidRPr="008268EB">
        <w:rPr>
          <w:rFonts w:ascii="Segoe UI" w:hAnsi="Segoe UI" w:cs="Segoe UI"/>
          <w:i/>
        </w:rPr>
        <w:t>Overview of Victoria’s Forest Management System (DELWP,</w:t>
      </w:r>
      <w:r w:rsidRPr="008268EB">
        <w:rPr>
          <w:rFonts w:ascii="Segoe UI" w:hAnsi="Segoe UI" w:cs="Segoe UI"/>
        </w:rPr>
        <w:t xml:space="preserve"> 2020) details how Victoria provides for the protection of threatened species and communities. </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 xml:space="preserve">Common Assessment Method </w:t>
      </w:r>
    </w:p>
    <w:p w:rsidR="008268EB" w:rsidRPr="008268EB" w:rsidRDefault="008268EB" w:rsidP="008268EB">
      <w:pPr>
        <w:jc w:val="both"/>
        <w:rPr>
          <w:rFonts w:ascii="Segoe UI" w:hAnsi="Segoe UI" w:cs="Segoe UI"/>
          <w:lang w:eastAsia="en-AU"/>
        </w:rPr>
      </w:pPr>
      <w:r w:rsidRPr="008268EB">
        <w:rPr>
          <w:rFonts w:ascii="Segoe UI" w:hAnsi="Segoe UI" w:cs="Segoe UI"/>
          <w:lang w:eastAsia="en-AU"/>
        </w:rPr>
        <w:t>The Common Assessment Method (CAM) is a consistent approach to the assessment and listing of nationally threatened species across Australian jurisdictions. It is based on the best</w:t>
      </w:r>
      <w:r w:rsidRPr="008268EB">
        <w:rPr>
          <w:rFonts w:ascii="Segoe UI" w:hAnsi="Segoe UI" w:cs="Segoe UI"/>
          <w:lang w:eastAsia="en-AU"/>
        </w:rPr>
        <w:noBreakHyphen/>
        <w:t>practice standard developed by the IUCN, as used to create the Red List of Threatened Species and the Red List of Ecosystems, with some amendments to suit the Australian context.</w:t>
      </w:r>
    </w:p>
    <w:p w:rsidR="008268EB" w:rsidRPr="008268EB" w:rsidRDefault="008268EB" w:rsidP="008268EB">
      <w:pPr>
        <w:jc w:val="both"/>
        <w:rPr>
          <w:rFonts w:ascii="Segoe UI" w:hAnsi="Segoe UI" w:cs="Segoe UI"/>
          <w:lang w:eastAsia="en-AU"/>
        </w:rPr>
      </w:pPr>
      <w:r w:rsidRPr="008268EB">
        <w:rPr>
          <w:rFonts w:ascii="Segoe UI" w:hAnsi="Segoe UI" w:cs="Segoe UI"/>
          <w:lang w:eastAsia="en-AU"/>
        </w:rPr>
        <w:t>The Victorian Government signed a memorandum of understanding (MOU) in April 2018 with the Australian Government and other states and territories to implement the CAM for species (known as the ‘CAM MOU’) (Australian Government, Australian Capital Territory Government, Tasmanian Government, Northern Territory Government, New South Wales Government, Queensland Government, Victorian Government, 2018). It has not, as yet, adopted the CAM for ecological communities.</w:t>
      </w:r>
    </w:p>
    <w:p w:rsidR="008268EB" w:rsidRPr="008268EB" w:rsidRDefault="008268EB" w:rsidP="008268EB">
      <w:pPr>
        <w:jc w:val="both"/>
        <w:rPr>
          <w:rFonts w:ascii="Segoe UI" w:hAnsi="Segoe UI" w:cs="Segoe UI"/>
          <w:lang w:eastAsia="en-AU"/>
        </w:rPr>
      </w:pPr>
      <w:r w:rsidRPr="008268EB">
        <w:rPr>
          <w:rFonts w:ascii="Segoe UI" w:hAnsi="Segoe UI" w:cs="Segoe UI"/>
          <w:lang w:eastAsia="en-AU"/>
        </w:rPr>
        <w:t>The CAM MOU enables national assessments undertaken by one jurisdiction to be considered and accepted by another, under their legislation, ensuring that species are listed in the same national threat category across all Australian jurisdictions.</w:t>
      </w:r>
    </w:p>
    <w:p w:rsidR="008268EB" w:rsidRPr="008268EB" w:rsidRDefault="008268EB" w:rsidP="008268EB">
      <w:pPr>
        <w:jc w:val="both"/>
        <w:rPr>
          <w:rFonts w:ascii="Segoe UI" w:hAnsi="Segoe UI" w:cs="Segoe UI"/>
          <w:lang w:eastAsia="en-AU"/>
        </w:rPr>
      </w:pPr>
      <w:r w:rsidRPr="008268EB">
        <w:rPr>
          <w:rFonts w:ascii="Segoe UI" w:hAnsi="Segoe UI" w:cs="Segoe UI"/>
          <w:lang w:eastAsia="en-AU"/>
        </w:rPr>
        <w:t>Under the CAM MOU, the Commonwealth is predominantly responsible for assessing species that occur in more than one state or territory. States and territories will generally lead on assessments for species and communities endemic to their jurisdiction.</w:t>
      </w:r>
    </w:p>
    <w:p w:rsidR="008268EB" w:rsidRPr="008268EB" w:rsidRDefault="008268EB" w:rsidP="008268EB">
      <w:pPr>
        <w:jc w:val="both"/>
        <w:rPr>
          <w:rFonts w:ascii="Segoe UI" w:hAnsi="Segoe UI" w:cs="Segoe UI"/>
          <w:lang w:eastAsia="en-AU"/>
        </w:rPr>
      </w:pPr>
      <w:bookmarkStart w:id="62" w:name="_Toc11768298"/>
      <w:r w:rsidRPr="008268EB">
        <w:rPr>
          <w:rFonts w:ascii="Segoe UI" w:hAnsi="Segoe UI" w:cs="Segoe UI"/>
          <w:lang w:eastAsia="en-AU"/>
        </w:rPr>
        <w:t xml:space="preserve">As noted above, the CAM has not yet been given effect in Victorian law. The CAM will have a legislative basis as of 1 June 2020 when </w:t>
      </w:r>
      <w:r w:rsidRPr="008268EB">
        <w:rPr>
          <w:rFonts w:ascii="Segoe UI" w:hAnsi="Segoe UI" w:cs="Segoe UI"/>
        </w:rPr>
        <w:t xml:space="preserve">Flora and Fauna Guarantee Amendment Bill 2019 </w:t>
      </w:r>
      <w:r w:rsidRPr="008268EB">
        <w:rPr>
          <w:rFonts w:ascii="Segoe UI" w:hAnsi="Segoe UI" w:cs="Segoe UI"/>
          <w:lang w:eastAsia="en-AU"/>
        </w:rPr>
        <w:t xml:space="preserve">legislation comes into effect. At this time the Single Operational List of threatened species will become the Threatened List for the purposes of the FFG Act. Prior to June 2020, the department will continue to develop the Single Operational List of threatened species and their status in accordance with the CAM. </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Broader biodiversity and threatened species initiatives</w:t>
      </w:r>
      <w:bookmarkEnd w:id="62"/>
    </w:p>
    <w:p w:rsidR="008268EB" w:rsidRPr="008268EB" w:rsidRDefault="008268EB" w:rsidP="008268EB">
      <w:pPr>
        <w:jc w:val="both"/>
        <w:rPr>
          <w:rFonts w:ascii="Segoe UI" w:hAnsi="Segoe UI" w:cs="Segoe UI"/>
        </w:rPr>
      </w:pPr>
      <w:r w:rsidRPr="008268EB">
        <w:rPr>
          <w:rFonts w:ascii="Segoe UI" w:hAnsi="Segoe UI" w:cs="Segoe UI"/>
        </w:rPr>
        <w:t xml:space="preserve">The management of biodiversity outcomes in State forests is also addressed through Victoria’s </w:t>
      </w:r>
      <w:proofErr w:type="spellStart"/>
      <w:r w:rsidRPr="008268EB">
        <w:rPr>
          <w:rFonts w:ascii="Segoe UI" w:hAnsi="Segoe UI" w:cs="Segoe UI"/>
        </w:rPr>
        <w:t>statewide</w:t>
      </w:r>
      <w:proofErr w:type="spellEnd"/>
      <w:r w:rsidRPr="008268EB">
        <w:rPr>
          <w:rFonts w:ascii="Segoe UI" w:hAnsi="Segoe UI" w:cs="Segoe UI"/>
        </w:rPr>
        <w:t xml:space="preserve"> biodiversity plan, </w:t>
      </w:r>
      <w:r w:rsidRPr="008268EB">
        <w:rPr>
          <w:rFonts w:ascii="Segoe UI" w:hAnsi="Segoe UI" w:cs="Segoe UI"/>
          <w:i/>
        </w:rPr>
        <w:t>Protecting Victoria’s environment – biodiversity 2037</w:t>
      </w:r>
      <w:r w:rsidRPr="008268EB">
        <w:rPr>
          <w:rFonts w:ascii="Segoe UI" w:hAnsi="Segoe UI" w:cs="Segoe UI"/>
          <w:iCs/>
        </w:rPr>
        <w:t xml:space="preserve"> (</w:t>
      </w:r>
      <w:r w:rsidRPr="008268EB">
        <w:rPr>
          <w:rFonts w:ascii="Segoe UI" w:hAnsi="Segoe UI" w:cs="Segoe UI"/>
          <w:i/>
        </w:rPr>
        <w:t>Biodiversity 2037</w:t>
      </w:r>
      <w:r w:rsidRPr="008268EB">
        <w:rPr>
          <w:rFonts w:ascii="Segoe UI" w:hAnsi="Segoe UI" w:cs="Segoe UI"/>
        </w:rPr>
        <w:t xml:space="preserve">). The plan was developed to ensure that Victoria has a modern and effective approach to protecting and managing Victoria’s biodiversity (DELWP 2017c). It was published in 2017 as the new Flora and Fauna Guarantee Strategy for the purposes of section 17 of the FFG Act. </w:t>
      </w:r>
      <w:r w:rsidRPr="008268EB">
        <w:rPr>
          <w:rFonts w:ascii="Segoe UI" w:hAnsi="Segoe UI" w:cs="Segoe UI"/>
          <w:i/>
        </w:rPr>
        <w:t>Biodiversity 2037</w:t>
      </w:r>
      <w:r w:rsidRPr="008268EB">
        <w:rPr>
          <w:rFonts w:ascii="Segoe UI" w:hAnsi="Segoe UI" w:cs="Segoe UI"/>
        </w:rPr>
        <w:t xml:space="preserve"> notes that 70 per cent of Victoria’s highest-value terrestrial biodiversity areas exist on the 40 per cent of land that is publicly owned; these areas include national, state and wilderness parks and other conservation reserves, and land used for a broader range of purposes – including State forests and smaller public land parcels.</w:t>
      </w:r>
    </w:p>
    <w:p w:rsidR="008268EB" w:rsidRPr="008268EB" w:rsidRDefault="008268EB" w:rsidP="008268EB">
      <w:pPr>
        <w:jc w:val="both"/>
        <w:rPr>
          <w:rFonts w:ascii="Segoe UI" w:hAnsi="Segoe UI" w:cs="Segoe UI"/>
        </w:rPr>
      </w:pPr>
      <w:r w:rsidRPr="008268EB">
        <w:rPr>
          <w:rFonts w:ascii="Segoe UI" w:hAnsi="Segoe UI" w:cs="Segoe UI"/>
          <w:lang w:eastAsia="en-AU"/>
        </w:rPr>
        <w:t xml:space="preserve">The relevant targets in </w:t>
      </w:r>
      <w:r w:rsidRPr="008268EB">
        <w:rPr>
          <w:rFonts w:ascii="Segoe UI" w:hAnsi="Segoe UI" w:cs="Segoe UI"/>
          <w:i/>
          <w:lang w:eastAsia="en-AU"/>
        </w:rPr>
        <w:t>Biodiversity 2037</w:t>
      </w:r>
      <w:r w:rsidRPr="008268EB">
        <w:rPr>
          <w:rFonts w:ascii="Segoe UI" w:hAnsi="Segoe UI" w:cs="Segoe UI"/>
          <w:lang w:eastAsia="en-AU"/>
        </w:rPr>
        <w:t xml:space="preserve"> are:</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A net improvement in the outlook across all species by 2037, as measured by Change in Suitable Habitat,</w:t>
      </w:r>
      <w:r w:rsidRPr="008268EB">
        <w:rPr>
          <w:rFonts w:ascii="Segoe UI" w:hAnsi="Segoe UI" w:cs="Segoe UI"/>
          <w:iCs/>
          <w:sz w:val="20"/>
          <w:szCs w:val="14"/>
          <w:vertAlign w:val="superscript"/>
        </w:rPr>
        <w:footnoteReference w:id="5"/>
      </w:r>
      <w:r w:rsidRPr="008268EB">
        <w:rPr>
          <w:rFonts w:ascii="Segoe UI" w:hAnsi="Segoe UI" w:cs="Segoe UI"/>
          <w:iCs/>
          <w:sz w:val="20"/>
          <w:szCs w:val="14"/>
        </w:rPr>
        <w:t xml:space="preserve"> with the expected outcomes being: </w:t>
      </w:r>
    </w:p>
    <w:p w:rsidR="008268EB" w:rsidRPr="008268EB" w:rsidRDefault="008268EB" w:rsidP="008268EB">
      <w:pPr>
        <w:numPr>
          <w:ilvl w:val="0"/>
          <w:numId w:val="42"/>
        </w:numPr>
        <w:spacing w:before="120" w:after="120" w:line="250" w:lineRule="auto"/>
        <w:ind w:left="1276" w:right="794" w:hanging="425"/>
        <w:contextualSpacing/>
        <w:jc w:val="both"/>
        <w:rPr>
          <w:rFonts w:ascii="Segoe UI" w:hAnsi="Segoe UI" w:cs="Segoe UI"/>
          <w:iCs/>
          <w:sz w:val="20"/>
          <w:szCs w:val="14"/>
        </w:rPr>
      </w:pPr>
      <w:r w:rsidRPr="008268EB">
        <w:rPr>
          <w:rFonts w:ascii="Segoe UI" w:hAnsi="Segoe UI" w:cs="Segoe UI"/>
          <w:iCs/>
          <w:sz w:val="20"/>
          <w:szCs w:val="14"/>
        </w:rPr>
        <w:t>That no vulnerable or near-threatened species will have become endangered.</w:t>
      </w:r>
    </w:p>
    <w:p w:rsidR="008268EB" w:rsidRPr="008268EB" w:rsidRDefault="008268EB" w:rsidP="008268EB">
      <w:pPr>
        <w:numPr>
          <w:ilvl w:val="0"/>
          <w:numId w:val="42"/>
        </w:numPr>
        <w:spacing w:before="120" w:after="120" w:line="250" w:lineRule="auto"/>
        <w:ind w:left="1276" w:right="794" w:hanging="425"/>
        <w:contextualSpacing/>
        <w:jc w:val="both"/>
        <w:rPr>
          <w:rFonts w:ascii="Segoe UI" w:hAnsi="Segoe UI" w:cs="Segoe UI"/>
          <w:iCs/>
          <w:sz w:val="20"/>
          <w:szCs w:val="14"/>
        </w:rPr>
      </w:pPr>
      <w:r w:rsidRPr="008268EB">
        <w:rPr>
          <w:rFonts w:ascii="Segoe UI" w:hAnsi="Segoe UI" w:cs="Segoe UI"/>
          <w:iCs/>
          <w:sz w:val="20"/>
          <w:szCs w:val="14"/>
        </w:rPr>
        <w:t xml:space="preserve">That all critically endangered and endangered species will have at least one option available for being conserved </w:t>
      </w:r>
      <w:r w:rsidRPr="008268EB">
        <w:rPr>
          <w:rFonts w:ascii="Segoe UI" w:hAnsi="Segoe UI" w:cs="Segoe UI"/>
          <w:i/>
          <w:iCs/>
          <w:sz w:val="20"/>
          <w:szCs w:val="14"/>
        </w:rPr>
        <w:t>ex situ</w:t>
      </w:r>
      <w:r w:rsidRPr="008268EB">
        <w:rPr>
          <w:rFonts w:ascii="Segoe UI" w:hAnsi="Segoe UI" w:cs="Segoe UI"/>
          <w:iCs/>
          <w:sz w:val="20"/>
          <w:szCs w:val="14"/>
        </w:rPr>
        <w:t xml:space="preserve"> or re-established in the wild (where feasible under climate change) should they need it.</w:t>
      </w:r>
    </w:p>
    <w:p w:rsidR="008268EB" w:rsidRPr="008268EB" w:rsidRDefault="008268EB" w:rsidP="008268EB">
      <w:pPr>
        <w:numPr>
          <w:ilvl w:val="0"/>
          <w:numId w:val="42"/>
        </w:numPr>
        <w:spacing w:before="120" w:after="120" w:line="250" w:lineRule="auto"/>
        <w:ind w:left="1276" w:right="794" w:hanging="425"/>
        <w:contextualSpacing/>
        <w:jc w:val="both"/>
        <w:rPr>
          <w:rFonts w:ascii="Segoe UI" w:hAnsi="Segoe UI" w:cs="Segoe UI"/>
          <w:iCs/>
          <w:sz w:val="20"/>
          <w:szCs w:val="14"/>
        </w:rPr>
      </w:pPr>
      <w:r w:rsidRPr="008268EB">
        <w:rPr>
          <w:rFonts w:ascii="Segoe UI" w:hAnsi="Segoe UI" w:cs="Segoe UI"/>
          <w:iCs/>
          <w:sz w:val="20"/>
          <w:szCs w:val="14"/>
        </w:rPr>
        <w:t>A net gain of the overall extent and condition of habitats across terrestrial, waterway and marine environments.</w:t>
      </w:r>
    </w:p>
    <w:p w:rsidR="008268EB" w:rsidRPr="008268EB" w:rsidRDefault="008268EB" w:rsidP="008268EB">
      <w:pPr>
        <w:spacing w:line="250" w:lineRule="auto"/>
        <w:ind w:left="794" w:right="794"/>
        <w:jc w:val="both"/>
        <w:rPr>
          <w:rFonts w:ascii="Segoe UI" w:hAnsi="Segoe UI" w:cs="Segoe UI"/>
          <w:iCs/>
          <w:sz w:val="20"/>
          <w:szCs w:val="14"/>
        </w:rPr>
      </w:pPr>
      <w:r w:rsidRPr="008268EB">
        <w:rPr>
          <w:rFonts w:ascii="Segoe UI" w:hAnsi="Segoe UI" w:cs="Segoe UI"/>
          <w:iCs/>
          <w:sz w:val="20"/>
          <w:szCs w:val="14"/>
        </w:rPr>
        <w:t>(DELWP 2017c, p. 20)</w:t>
      </w:r>
    </w:p>
    <w:p w:rsidR="008268EB" w:rsidRPr="008268EB" w:rsidRDefault="008268EB" w:rsidP="008268EB">
      <w:pPr>
        <w:jc w:val="both"/>
        <w:rPr>
          <w:rFonts w:ascii="Segoe UI" w:hAnsi="Segoe UI" w:cs="Segoe UI"/>
        </w:rPr>
      </w:pPr>
      <w:r w:rsidRPr="008268EB">
        <w:rPr>
          <w:rFonts w:ascii="Segoe UI" w:hAnsi="Segoe UI" w:cs="Segoe UI"/>
        </w:rPr>
        <w:t>In this context, the management of biodiversity outcomes from State forests is incorporated within a broader program of biodiversity initiatives across public land. These initiatives include:</w:t>
      </w:r>
    </w:p>
    <w:p w:rsidR="008268EB" w:rsidRPr="008268EB" w:rsidRDefault="008268EB" w:rsidP="00F30F0A">
      <w:pPr>
        <w:numPr>
          <w:ilvl w:val="0"/>
          <w:numId w:val="43"/>
        </w:numPr>
        <w:spacing w:before="120" w:after="120" w:line="240" w:lineRule="auto"/>
        <w:ind w:left="709" w:hanging="425"/>
        <w:contextualSpacing/>
        <w:rPr>
          <w:rFonts w:ascii="Segoe UI" w:hAnsi="Segoe UI" w:cs="Segoe UI"/>
        </w:rPr>
      </w:pPr>
      <w:r w:rsidRPr="008268EB">
        <w:rPr>
          <w:rFonts w:ascii="Segoe UI" w:hAnsi="Segoe UI" w:cs="Segoe UI"/>
        </w:rPr>
        <w:t>comprehensively engaging with Traditional Owners and Aboriginal Victorians to include Aboriginal values and traditional ecological knowledge in biodiversity planning and management.</w:t>
      </w:r>
    </w:p>
    <w:p w:rsidR="008268EB" w:rsidRPr="008268EB" w:rsidRDefault="008268EB" w:rsidP="00F30F0A">
      <w:pPr>
        <w:numPr>
          <w:ilvl w:val="0"/>
          <w:numId w:val="43"/>
        </w:numPr>
        <w:spacing w:before="120" w:after="120" w:line="240" w:lineRule="auto"/>
        <w:ind w:left="709" w:hanging="425"/>
        <w:contextualSpacing/>
        <w:rPr>
          <w:rFonts w:ascii="Segoe UI" w:hAnsi="Segoe UI" w:cs="Segoe UI"/>
        </w:rPr>
      </w:pPr>
      <w:r w:rsidRPr="008268EB">
        <w:rPr>
          <w:rFonts w:ascii="Segoe UI" w:hAnsi="Segoe UI" w:cs="Segoe UI"/>
        </w:rPr>
        <w:t>working with government agencies, private organisations and community groups to identify prospective projects across all land tenures. Biodiversity Response Planning is a new area-based planning approach to biodiversity conservation in Victoria. It is designed to strengthen alignment, collaboration and participation between government agencies, Traditional Owners, non-government agencies and the community.</w:t>
      </w:r>
    </w:p>
    <w:p w:rsidR="008268EB" w:rsidRPr="008268EB" w:rsidRDefault="008268EB" w:rsidP="00F30F0A">
      <w:pPr>
        <w:numPr>
          <w:ilvl w:val="0"/>
          <w:numId w:val="43"/>
        </w:numPr>
        <w:spacing w:before="120" w:after="120" w:line="240" w:lineRule="auto"/>
        <w:ind w:left="709" w:hanging="425"/>
        <w:contextualSpacing/>
        <w:rPr>
          <w:rFonts w:ascii="Segoe UI" w:hAnsi="Segoe UI" w:cs="Segoe UI"/>
        </w:rPr>
      </w:pPr>
      <w:r w:rsidRPr="008268EB">
        <w:rPr>
          <w:rFonts w:ascii="Segoe UI" w:hAnsi="Segoe UI" w:cs="Segoe UI"/>
        </w:rPr>
        <w:t>substantial, multi-year investment in the highest-priority projects arising from the Biodiversity Response Planning process. In 2018, 85 new projects for on-ground biodiversity action (worth $33.67 million) and four new projects for Marine Environment Targeted Action (worth $1.1 million) were announced. Funded projects will be delivered over three years, commencing in 2018–19 and continuing to 2020–21. Further information on projects and funding is available on the DELWP website.</w:t>
      </w:r>
      <w:r w:rsidRPr="008268EB">
        <w:rPr>
          <w:rFonts w:ascii="Segoe UI" w:hAnsi="Segoe UI" w:cs="Segoe UI"/>
          <w:vertAlign w:val="superscript"/>
        </w:rPr>
        <w:footnoteReference w:id="6"/>
      </w:r>
      <w:r w:rsidRPr="008268EB">
        <w:rPr>
          <w:rFonts w:ascii="Segoe UI" w:hAnsi="Segoe UI" w:cs="Segoe UI"/>
        </w:rPr>
        <w:t xml:space="preserve"> </w:t>
      </w:r>
    </w:p>
    <w:p w:rsidR="008268EB" w:rsidRPr="008268EB" w:rsidRDefault="008268EB" w:rsidP="00F30F0A">
      <w:pPr>
        <w:numPr>
          <w:ilvl w:val="0"/>
          <w:numId w:val="43"/>
        </w:numPr>
        <w:spacing w:before="120" w:after="120" w:line="240" w:lineRule="auto"/>
        <w:ind w:left="709" w:hanging="425"/>
        <w:contextualSpacing/>
        <w:rPr>
          <w:rFonts w:ascii="Segoe UI" w:hAnsi="Segoe UI" w:cs="Segoe UI"/>
        </w:rPr>
      </w:pPr>
      <w:r w:rsidRPr="008268EB">
        <w:rPr>
          <w:rFonts w:ascii="Segoe UI" w:hAnsi="Segoe UI" w:cs="Segoe UI"/>
        </w:rPr>
        <w:t>developing and delivering decision-support tools which focus on the most cost-effective options for action to benefit the largest number of native species under climate change scenarios</w:t>
      </w:r>
    </w:p>
    <w:p w:rsidR="008268EB" w:rsidRPr="008268EB" w:rsidRDefault="008268EB" w:rsidP="00F30F0A">
      <w:pPr>
        <w:numPr>
          <w:ilvl w:val="0"/>
          <w:numId w:val="43"/>
        </w:numPr>
        <w:spacing w:before="120" w:after="120" w:line="240" w:lineRule="auto"/>
        <w:ind w:left="709" w:hanging="425"/>
        <w:contextualSpacing/>
        <w:rPr>
          <w:rFonts w:ascii="Segoe UI" w:hAnsi="Segoe UI" w:cs="Segoe UI"/>
        </w:rPr>
      </w:pPr>
      <w:r w:rsidRPr="008268EB">
        <w:rPr>
          <w:rFonts w:ascii="Segoe UI" w:hAnsi="Segoe UI" w:cs="Segoe UI"/>
        </w:rPr>
        <w:t>expanding and improving the collection of data, including consistent reporting on management activity, monitoring of asset condition where appropriate, and investigating the effectiveness of management to inform future decision-making.</w:t>
      </w:r>
    </w:p>
    <w:p w:rsidR="008268EB" w:rsidRPr="008268EB" w:rsidRDefault="008268EB" w:rsidP="008268EB">
      <w:pPr>
        <w:jc w:val="both"/>
        <w:rPr>
          <w:rFonts w:ascii="Segoe UI" w:hAnsi="Segoe UI" w:cs="Segoe UI"/>
        </w:rPr>
      </w:pPr>
      <w:r w:rsidRPr="008268EB">
        <w:rPr>
          <w:rFonts w:ascii="Segoe UI" w:hAnsi="Segoe UI" w:cs="Segoe UI"/>
        </w:rPr>
        <w:t xml:space="preserve">In addition to the initiatives listed above, the Weeds and Pests on Public Land Program funds landscape-scale pest management projects including Southern Ark, Glenelg Ark, Grampians Ark, Central Highlands Ark, Barry Mountains fox control program and Mallee </w:t>
      </w:r>
      <w:proofErr w:type="spellStart"/>
      <w:r w:rsidRPr="008268EB">
        <w:rPr>
          <w:rFonts w:ascii="Segoe UI" w:hAnsi="Segoe UI" w:cs="Segoe UI"/>
        </w:rPr>
        <w:t>Bounceback</w:t>
      </w:r>
      <w:proofErr w:type="spellEnd"/>
      <w:r w:rsidRPr="008268EB">
        <w:rPr>
          <w:rFonts w:ascii="Segoe UI" w:hAnsi="Segoe UI" w:cs="Segoe UI"/>
        </w:rPr>
        <w:t xml:space="preserve"> (DELWP 2019c). Weed management projects (‘</w:t>
      </w:r>
      <w:proofErr w:type="spellStart"/>
      <w:r w:rsidRPr="008268EB">
        <w:rPr>
          <w:rFonts w:ascii="Segoe UI" w:hAnsi="Segoe UI" w:cs="Segoe UI"/>
        </w:rPr>
        <w:t>Edens</w:t>
      </w:r>
      <w:proofErr w:type="spellEnd"/>
      <w:r w:rsidRPr="008268EB">
        <w:rPr>
          <w:rFonts w:ascii="Segoe UI" w:hAnsi="Segoe UI" w:cs="Segoe UI"/>
        </w:rPr>
        <w:t>’) are being implemented in the Central Highlands, Otway Ranges and Glenelg regions. The program invests $3.1 million each year across approximately 10 per cent of the state throughout Victoria’s highest biodiversity assets on public land. A further $1 million is contributed each year by delivery partner Parks Victoria. These initiatives are cross tenure and have been delivered for 15 years.</w:t>
      </w:r>
    </w:p>
    <w:p w:rsidR="008268EB" w:rsidRPr="008268EB" w:rsidRDefault="008268EB" w:rsidP="008268EB">
      <w:pPr>
        <w:keepNext/>
        <w:spacing w:before="240" w:after="240" w:line="240" w:lineRule="auto"/>
        <w:outlineLvl w:val="2"/>
        <w:rPr>
          <w:rFonts w:ascii="Segoe UI" w:hAnsi="Segoe UI" w:cs="Segoe UI"/>
          <w:b/>
          <w:color w:val="000000"/>
          <w:sz w:val="24"/>
          <w:szCs w:val="24"/>
        </w:rPr>
      </w:pPr>
      <w:bookmarkStart w:id="63" w:name="_Toc11768299"/>
      <w:bookmarkStart w:id="64" w:name="_Toc14418082"/>
      <w:bookmarkStart w:id="65" w:name="_Toc30491981"/>
      <w:bookmarkStart w:id="66" w:name="_Toc33002078"/>
      <w:bookmarkStart w:id="67" w:name="_Hlk17305181"/>
      <w:r w:rsidRPr="008268EB">
        <w:rPr>
          <w:rFonts w:ascii="Segoe UI" w:hAnsi="Segoe UI" w:cs="Segoe UI"/>
          <w:b/>
          <w:color w:val="000000"/>
          <w:sz w:val="24"/>
          <w:szCs w:val="24"/>
        </w:rPr>
        <w:t xml:space="preserve">Indicator 1.2b: </w:t>
      </w:r>
      <w:bookmarkStart w:id="68" w:name="_Hlk27640244"/>
      <w:r w:rsidRPr="008268EB">
        <w:rPr>
          <w:rFonts w:ascii="Segoe UI" w:hAnsi="Segoe UI" w:cs="Segoe UI"/>
          <w:b/>
          <w:color w:val="000000"/>
          <w:sz w:val="24"/>
          <w:szCs w:val="24"/>
        </w:rPr>
        <w:t>The status of forest-dwelling species at risk of not maintaining viable breeding populations, as determined by legislation or scientific assessment</w:t>
      </w:r>
      <w:bookmarkEnd w:id="63"/>
      <w:bookmarkEnd w:id="64"/>
      <w:bookmarkEnd w:id="65"/>
      <w:bookmarkEnd w:id="66"/>
      <w:bookmarkEnd w:id="68"/>
    </w:p>
    <w:bookmarkEnd w:id="67"/>
    <w:p w:rsidR="008268EB" w:rsidRPr="008268EB" w:rsidRDefault="008268EB" w:rsidP="008268EB">
      <w:pPr>
        <w:jc w:val="both"/>
        <w:rPr>
          <w:rFonts w:ascii="Segoe UI" w:hAnsi="Segoe UI" w:cs="Segoe UI"/>
        </w:rPr>
      </w:pPr>
      <w:r w:rsidRPr="008268EB">
        <w:rPr>
          <w:rFonts w:ascii="Segoe UI" w:hAnsi="Segoe UI" w:cs="Segoe UI"/>
        </w:rPr>
        <w:t>This indicator measures the conservation status of nationally listed threatened forest-dwelling species. Documentation of this information over time allows analysis of changes to species conservation status indicating the extent to which forest species biodiversity is being maintained.</w:t>
      </w:r>
      <w:r w:rsidRPr="008268EB">
        <w:rPr>
          <w:rFonts w:ascii="Segoe UI" w:hAnsi="Segoe UI" w:cs="Segoe UI"/>
          <w:i/>
          <w:iCs/>
          <w:color w:val="000000"/>
          <w:bdr w:val="none" w:sz="0" w:space="0" w:color="auto" w:frame="1"/>
        </w:rPr>
        <w:t xml:space="preserve"> </w:t>
      </w:r>
      <w:r w:rsidRPr="008268EB">
        <w:rPr>
          <w:rFonts w:ascii="Segoe UI" w:hAnsi="Segoe UI" w:cs="Segoe UI"/>
        </w:rPr>
        <w:t xml:space="preserve">Forest-dwelling species are species that occur in forest vegetation types, although they may also occur outside forests. Forest-dependent species are species that require a forest habitat for at least part of their life cycle. EPBC Act listed species reported here have not been limited to those that are exclusively forest dependent. </w:t>
      </w:r>
    </w:p>
    <w:p w:rsidR="008268EB" w:rsidRPr="008268EB" w:rsidRDefault="008268EB" w:rsidP="008268EB">
      <w:pPr>
        <w:jc w:val="both"/>
        <w:rPr>
          <w:rFonts w:ascii="Segoe UI" w:hAnsi="Segoe UI" w:cs="Segoe UI"/>
        </w:rPr>
      </w:pPr>
      <w:r w:rsidRPr="008268EB">
        <w:rPr>
          <w:rFonts w:ascii="Segoe UI" w:hAnsi="Segoe UI" w:cs="Segoe UI"/>
        </w:rPr>
        <w:t>As part of the CRA process undertaken for Victorian RFAs (1997–2000), an assessment was made of threatened flora and fauna listed under the legislation at the time, the FFG Act (Vic.) and the ESP Act (</w:t>
      </w:r>
      <w:proofErr w:type="spellStart"/>
      <w:r w:rsidRPr="008268EB">
        <w:rPr>
          <w:rFonts w:ascii="Segoe UI" w:hAnsi="Segoe UI" w:cs="Segoe UI"/>
        </w:rPr>
        <w:t>Cth</w:t>
      </w:r>
      <w:proofErr w:type="spellEnd"/>
      <w:r w:rsidRPr="008268EB">
        <w:rPr>
          <w:rFonts w:ascii="Segoe UI" w:hAnsi="Segoe UI" w:cs="Segoe UI"/>
        </w:rPr>
        <w:t xml:space="preserve">). A number of non-threatened indicator species were also chosen to provide a broader assessment of fauna in the region. These included species representative of taxa at risk from various management activities. Assessments of these species included: </w:t>
      </w:r>
    </w:p>
    <w:p w:rsidR="008268EB" w:rsidRPr="008268EB" w:rsidRDefault="008268EB" w:rsidP="00F30F0A">
      <w:pPr>
        <w:numPr>
          <w:ilvl w:val="0"/>
          <w:numId w:val="44"/>
        </w:numPr>
        <w:spacing w:before="120" w:after="120" w:line="240" w:lineRule="auto"/>
        <w:ind w:left="709" w:hanging="425"/>
        <w:contextualSpacing/>
        <w:rPr>
          <w:rFonts w:ascii="Segoe UI" w:hAnsi="Segoe UI" w:cs="Segoe UI"/>
        </w:rPr>
      </w:pPr>
      <w:r w:rsidRPr="008268EB">
        <w:rPr>
          <w:rFonts w:ascii="Segoe UI" w:hAnsi="Segoe UI" w:cs="Segoe UI"/>
        </w:rPr>
        <w:t>vulnerability assessments to identify rare or threatened species that are at greatest risk of further significant decline and extinction as a result of activities, ongoing threatening processes and catastrophic events in the region</w:t>
      </w:r>
    </w:p>
    <w:p w:rsidR="008268EB" w:rsidRPr="008268EB" w:rsidRDefault="008268EB" w:rsidP="00F30F0A">
      <w:pPr>
        <w:numPr>
          <w:ilvl w:val="0"/>
          <w:numId w:val="44"/>
        </w:numPr>
        <w:spacing w:before="120" w:after="120" w:line="240" w:lineRule="auto"/>
        <w:ind w:left="709" w:hanging="425"/>
        <w:contextualSpacing/>
        <w:rPr>
          <w:rFonts w:ascii="Segoe UI" w:hAnsi="Segoe UI" w:cs="Segoe UI"/>
        </w:rPr>
      </w:pPr>
      <w:r w:rsidRPr="008268EB">
        <w:rPr>
          <w:rFonts w:ascii="Segoe UI" w:hAnsi="Segoe UI" w:cs="Segoe UI"/>
        </w:rPr>
        <w:t xml:space="preserve">species reservation analysis assessments to assess the extent to which species of conservation significance in each RFA region were protected in the reserve system at that time </w:t>
      </w:r>
    </w:p>
    <w:p w:rsidR="008268EB" w:rsidRPr="008268EB" w:rsidRDefault="008268EB" w:rsidP="00F30F0A">
      <w:pPr>
        <w:numPr>
          <w:ilvl w:val="0"/>
          <w:numId w:val="44"/>
        </w:numPr>
        <w:spacing w:before="120" w:after="120" w:line="240" w:lineRule="auto"/>
        <w:ind w:left="709" w:hanging="425"/>
        <w:contextualSpacing/>
        <w:rPr>
          <w:rFonts w:ascii="Segoe UI" w:hAnsi="Segoe UI" w:cs="Segoe UI"/>
        </w:rPr>
      </w:pPr>
      <w:r w:rsidRPr="008268EB">
        <w:rPr>
          <w:rFonts w:ascii="Segoe UI" w:hAnsi="Segoe UI" w:cs="Segoe UI"/>
        </w:rPr>
        <w:t xml:space="preserve">disturbances (threatening processes) assessments to describe potentially threatening processes relevant to each RFA region and the management arrangements currently in place to address these. </w:t>
      </w:r>
    </w:p>
    <w:p w:rsidR="008268EB" w:rsidRPr="008268EB" w:rsidRDefault="008268EB" w:rsidP="008268EB">
      <w:pPr>
        <w:jc w:val="both"/>
        <w:rPr>
          <w:rFonts w:ascii="Segoe UI" w:hAnsi="Segoe UI" w:cs="Segoe UI"/>
        </w:rPr>
      </w:pPr>
      <w:r w:rsidRPr="008268EB">
        <w:rPr>
          <w:rFonts w:ascii="Segoe UI" w:hAnsi="Segoe UI" w:cs="Segoe UI"/>
        </w:rPr>
        <w:t xml:space="preserve">The Flora Information System of Victoria and the Atlas of Victorian Wildlife, comprising both formal survey and incidental observations, were used to conduct the CRA flora and fauna assessment. An assessment of the proportions of species records in reserves, non-reserve areas and partially reserved areas was also undertaken for threatened terrestrial vertebrate species. </w:t>
      </w:r>
    </w:p>
    <w:p w:rsidR="008268EB" w:rsidRPr="008268EB" w:rsidRDefault="008268EB" w:rsidP="008268EB">
      <w:pPr>
        <w:jc w:val="both"/>
        <w:rPr>
          <w:rFonts w:ascii="Segoe UI" w:hAnsi="Segoe UI" w:cs="Segoe UI"/>
        </w:rPr>
      </w:pPr>
      <w:r w:rsidRPr="008268EB">
        <w:rPr>
          <w:rFonts w:ascii="Segoe UI" w:hAnsi="Segoe UI" w:cs="Segoe UI"/>
        </w:rPr>
        <w:t xml:space="preserve">The current assessment of threatened species for this indicator is based on species, community and threat information stored in the Commonwealth </w:t>
      </w:r>
      <w:bookmarkStart w:id="69" w:name="_Hlk10801874"/>
      <w:r w:rsidRPr="008268EB">
        <w:rPr>
          <w:rFonts w:ascii="Segoe UI" w:hAnsi="Segoe UI" w:cs="Segoe UI"/>
        </w:rPr>
        <w:t>Environmental Resources Information Network Species Profile and Threats Database</w:t>
      </w:r>
      <w:bookmarkEnd w:id="69"/>
      <w:r w:rsidRPr="008268EB">
        <w:rPr>
          <w:rFonts w:ascii="Segoe UI" w:hAnsi="Segoe UI" w:cs="Segoe UI"/>
        </w:rPr>
        <w:t xml:space="preserve">. Species identified here are known or likely to occur within Victoria’s RFA regions as at July 2019. </w:t>
      </w:r>
    </w:p>
    <w:p w:rsidR="008268EB" w:rsidRPr="008268EB" w:rsidRDefault="008268EB" w:rsidP="008268EB">
      <w:pPr>
        <w:jc w:val="both"/>
        <w:rPr>
          <w:rFonts w:ascii="Segoe UI" w:hAnsi="Segoe UI" w:cs="Segoe UI"/>
        </w:rPr>
      </w:pPr>
      <w:r w:rsidRPr="008268EB">
        <w:rPr>
          <w:rFonts w:ascii="Segoe UI" w:hAnsi="Segoe UI" w:cs="Segoe UI"/>
        </w:rPr>
        <w:t>Habitat distribution models (HDMs) for high-priority forest</w:t>
      </w:r>
      <w:r w:rsidRPr="008268EB">
        <w:rPr>
          <w:rFonts w:ascii="Segoe UI" w:hAnsi="Segoe UI" w:cs="Segoe UI"/>
        </w:rPr>
        <w:noBreakHyphen/>
        <w:t>dependent threatened species have been used to conduct a species reservation analysis for a subset of forest</w:t>
      </w:r>
      <w:r w:rsidRPr="008268EB">
        <w:rPr>
          <w:rFonts w:ascii="Segoe UI" w:hAnsi="Segoe UI" w:cs="Segoe UI"/>
        </w:rPr>
        <w:noBreakHyphen/>
        <w:t xml:space="preserve">dependent threatened species. HDMs are based on species observation records stored in the Victorian Biodiversity Atlas (VBA). This analysis and further information on this process and other information systems used to inform the consideration of threatened species in forest management planning in Victoria is outlined under Indicators 1.2a and 1.2c. </w:t>
      </w:r>
    </w:p>
    <w:p w:rsidR="008268EB" w:rsidRPr="008268EB" w:rsidRDefault="008268EB" w:rsidP="008268EB">
      <w:pPr>
        <w:jc w:val="both"/>
        <w:rPr>
          <w:rFonts w:ascii="Segoe UI" w:hAnsi="Segoe UI" w:cs="Segoe UI"/>
        </w:rPr>
      </w:pPr>
      <w:r w:rsidRPr="008268EB">
        <w:rPr>
          <w:rFonts w:ascii="Segoe UI" w:hAnsi="Segoe UI" w:cs="Segoe UI"/>
        </w:rPr>
        <w:t>As of July 2019, there are 196 EPBC Act listed threatened fauna and flora species known or likely to occur within the Victorian RFA regions (</w:t>
      </w:r>
      <w:r w:rsidRPr="008268EB">
        <w:rPr>
          <w:rFonts w:ascii="Segoe UI" w:hAnsi="Segoe UI" w:cs="Segoe UI"/>
        </w:rPr>
        <w:fldChar w:fldCharType="begin"/>
      </w:r>
      <w:r w:rsidRPr="008268EB">
        <w:rPr>
          <w:rFonts w:ascii="Segoe UI" w:hAnsi="Segoe UI" w:cs="Segoe UI"/>
        </w:rPr>
        <w:instrText xml:space="preserve"> REF _Ref14772770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Table 10</w:t>
      </w:r>
      <w:r w:rsidRPr="008268EB">
        <w:rPr>
          <w:rFonts w:ascii="Segoe UI" w:hAnsi="Segoe UI" w:cs="Segoe UI"/>
        </w:rPr>
        <w:fldChar w:fldCharType="end"/>
      </w:r>
      <w:r w:rsidRPr="008268EB">
        <w:rPr>
          <w:rFonts w:ascii="Segoe UI" w:hAnsi="Segoe UI" w:cs="Segoe UI"/>
        </w:rPr>
        <w:t xml:space="preserve">). EPBC Act listed species reported here have not been limited to those that are exclusively forest dependent. Appendix </w:t>
      </w:r>
      <w:r w:rsidRPr="008268EB">
        <w:rPr>
          <w:rFonts w:ascii="Segoe UI" w:hAnsi="Segoe UI" w:cs="Segoe UI"/>
        </w:rPr>
        <w:fldChar w:fldCharType="begin"/>
      </w:r>
      <w:r w:rsidRPr="008268EB">
        <w:rPr>
          <w:rFonts w:ascii="Segoe UI" w:hAnsi="Segoe UI" w:cs="Segoe UI"/>
        </w:rPr>
        <w:instrText xml:space="preserve"> REF _Ref14332125 \w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2</w:t>
      </w:r>
      <w:r w:rsidRPr="008268EB">
        <w:rPr>
          <w:rFonts w:ascii="Segoe UI" w:hAnsi="Segoe UI" w:cs="Segoe UI"/>
        </w:rPr>
        <w:fldChar w:fldCharType="end"/>
      </w:r>
      <w:r w:rsidRPr="008268EB">
        <w:rPr>
          <w:rFonts w:ascii="Segoe UI" w:hAnsi="Segoe UI" w:cs="Segoe UI"/>
        </w:rPr>
        <w:t xml:space="preserve"> details all EPBC Act listed species which are known or likely to occur within the Victorian RFA regions as well as the status of national conservation advices and recovery plans. </w:t>
      </w:r>
    </w:p>
    <w:p w:rsidR="008268EB" w:rsidRPr="008268EB" w:rsidRDefault="008268EB" w:rsidP="008268EB">
      <w:pPr>
        <w:spacing w:after="200" w:line="240" w:lineRule="auto"/>
        <w:rPr>
          <w:rFonts w:ascii="Segoe UI Semibold" w:eastAsia="Times New Roman" w:hAnsi="Segoe UI Semibold" w:cs="Times New Roman"/>
          <w:color w:val="016295"/>
        </w:rPr>
      </w:pPr>
      <w:bookmarkStart w:id="70" w:name="_Ref14772770"/>
      <w:bookmarkStart w:id="71" w:name="_Toc25660794"/>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10</w:t>
      </w:r>
      <w:r w:rsidRPr="008268EB">
        <w:rPr>
          <w:rFonts w:ascii="Segoe UI Semibold" w:eastAsia="Times New Roman" w:hAnsi="Segoe UI Semibold" w:cs="Times New Roman"/>
          <w:noProof/>
          <w:color w:val="016295"/>
        </w:rPr>
        <w:fldChar w:fldCharType="end"/>
      </w:r>
      <w:bookmarkEnd w:id="70"/>
      <w:r w:rsidRPr="008268EB">
        <w:rPr>
          <w:rFonts w:ascii="Segoe UI Semibold" w:eastAsia="Times New Roman" w:hAnsi="Segoe UI Semibold" w:cs="Times New Roman"/>
          <w:color w:val="016295"/>
        </w:rPr>
        <w:t>: Number of EPBC Act listed species known or likely to occur by RFA region</w:t>
      </w:r>
      <w:bookmarkEnd w:id="71"/>
    </w:p>
    <w:tbl>
      <w:tblPr>
        <w:tblStyle w:val="xTable1"/>
        <w:tblW w:w="0" w:type="auto"/>
        <w:tblLayout w:type="fixed"/>
        <w:tblLook w:val="04E0" w:firstRow="1" w:lastRow="1" w:firstColumn="1" w:lastColumn="0" w:noHBand="0" w:noVBand="1"/>
      </w:tblPr>
      <w:tblGrid>
        <w:gridCol w:w="2891"/>
        <w:gridCol w:w="1417"/>
        <w:gridCol w:w="1417"/>
        <w:gridCol w:w="1417"/>
        <w:gridCol w:w="1417"/>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 xml:space="preserve">RFA region </w:t>
            </w:r>
          </w:p>
        </w:tc>
        <w:tc>
          <w:tcPr>
            <w:tcW w:w="1417"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 xml:space="preserve">Critically endangered </w:t>
            </w:r>
          </w:p>
        </w:tc>
        <w:tc>
          <w:tcPr>
            <w:tcW w:w="1417"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 xml:space="preserve">Endangered </w:t>
            </w:r>
          </w:p>
        </w:tc>
        <w:tc>
          <w:tcPr>
            <w:tcW w:w="1417"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 xml:space="preserve">Vulnerable </w:t>
            </w:r>
          </w:p>
        </w:tc>
        <w:tc>
          <w:tcPr>
            <w:tcW w:w="1417"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 xml:space="preserve">Total </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Central Highlands</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15</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24</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49</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 xml:space="preserve">East Gippsland </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38</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52</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 xml:space="preserve">Gippsland </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23</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46</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80</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North East</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18</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30</w:t>
            </w:r>
          </w:p>
        </w:tc>
        <w:tc>
          <w:tcPr>
            <w:tcW w:w="1417" w:type="dxa"/>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56</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 xml:space="preserve">West </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40</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59</w:t>
            </w:r>
          </w:p>
        </w:tc>
        <w:tc>
          <w:tcPr>
            <w:tcW w:w="1417" w:type="dxa"/>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115</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hideMark/>
          </w:tcPr>
          <w:p w:rsidR="008268EB" w:rsidRPr="008268EB" w:rsidRDefault="008268EB" w:rsidP="008268EB">
            <w:pPr>
              <w:rPr>
                <w:rFonts w:ascii="Segoe UI" w:hAnsi="Segoe UI" w:cs="Segoe UI"/>
              </w:rPr>
            </w:pPr>
            <w:r w:rsidRPr="008268EB">
              <w:rPr>
                <w:rFonts w:ascii="Segoe UI" w:hAnsi="Segoe UI" w:cs="Segoe UI"/>
              </w:rPr>
              <w:t>Total across all RFA regions</w:t>
            </w:r>
            <w:r w:rsidRPr="008268EB">
              <w:rPr>
                <w:rFonts w:ascii="Segoe UI" w:hAnsi="Segoe UI" w:cs="Segoe UI"/>
                <w:bCs/>
                <w:position w:val="8"/>
              </w:rPr>
              <w:t>a</w:t>
            </w:r>
          </w:p>
        </w:tc>
        <w:tc>
          <w:tcPr>
            <w:tcW w:w="1417" w:type="dxa"/>
            <w:vAlign w:val="bottom"/>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25</w:t>
            </w:r>
          </w:p>
        </w:tc>
        <w:tc>
          <w:tcPr>
            <w:tcW w:w="1417" w:type="dxa"/>
            <w:vAlign w:val="bottom"/>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64</w:t>
            </w:r>
          </w:p>
        </w:tc>
        <w:tc>
          <w:tcPr>
            <w:tcW w:w="1417" w:type="dxa"/>
            <w:vAlign w:val="bottom"/>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111</w:t>
            </w:r>
          </w:p>
        </w:tc>
        <w:tc>
          <w:tcPr>
            <w:tcW w:w="1417" w:type="dxa"/>
            <w:vAlign w:val="bottom"/>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196</w:t>
            </w:r>
          </w:p>
        </w:tc>
      </w:tr>
    </w:tbl>
    <w:p w:rsidR="008268EB" w:rsidRPr="008268EB" w:rsidRDefault="008268EB" w:rsidP="008268EB">
      <w:pPr>
        <w:tabs>
          <w:tab w:val="left" w:pos="426"/>
        </w:tabs>
        <w:spacing w:before="80"/>
        <w:ind w:left="426" w:hanging="426"/>
        <w:contextualSpacing/>
        <w:rPr>
          <w:rFonts w:ascii="Segoe UI" w:eastAsia="STZhongsong" w:hAnsi="Segoe UI" w:cs="Segoe UI"/>
          <w:bCs/>
          <w:sz w:val="18"/>
          <w:szCs w:val="18"/>
          <w:lang w:eastAsia="ko-KR"/>
        </w:rPr>
      </w:pPr>
      <w:bookmarkStart w:id="72" w:name="_Ref2179292"/>
      <w:r w:rsidRPr="008268EB">
        <w:rPr>
          <w:rFonts w:ascii="Segoe UI" w:eastAsia="STZhongsong" w:hAnsi="Segoe UI" w:cs="Segoe UI"/>
          <w:bCs/>
          <w:sz w:val="18"/>
          <w:szCs w:val="18"/>
          <w:lang w:eastAsia="ko-KR"/>
        </w:rPr>
        <w:t>a</w:t>
      </w:r>
      <w:r w:rsidRPr="008268EB">
        <w:rPr>
          <w:rFonts w:ascii="Segoe UI" w:eastAsia="STZhongsong" w:hAnsi="Segoe UI" w:cs="Segoe UI"/>
          <w:bCs/>
          <w:sz w:val="18"/>
          <w:szCs w:val="18"/>
          <w:lang w:eastAsia="ko-KR"/>
        </w:rPr>
        <w:tab/>
        <w:t xml:space="preserve">Totals are less than the sum of the number for each listed category because many species occur in more than one RFA region. Threatened marine mammals, fish, sharks and migratory birds that are restricted to coastal and marine environments are excluded from the list.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w:t>
      </w:r>
      <w:bookmarkEnd w:id="72"/>
      <w:r w:rsidRPr="008268EB">
        <w:rPr>
          <w:rFonts w:ascii="Segoe UI" w:eastAsia="STZhongsong" w:hAnsi="Segoe UI" w:cs="Segoe UI"/>
          <w:bCs/>
          <w:sz w:val="18"/>
          <w:szCs w:val="18"/>
          <w:lang w:eastAsia="ko-KR"/>
        </w:rPr>
        <w:t>. Accessed 31 July 2019.</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Victorian FFG Act listed species and Victorian Advisory List species</w:t>
      </w:r>
    </w:p>
    <w:p w:rsidR="008268EB" w:rsidRPr="008268EB" w:rsidRDefault="008268EB" w:rsidP="008268EB">
      <w:pPr>
        <w:jc w:val="both"/>
        <w:rPr>
          <w:rFonts w:ascii="Segoe UI" w:hAnsi="Segoe UI" w:cs="Segoe UI"/>
        </w:rPr>
      </w:pPr>
      <w:r w:rsidRPr="008268EB">
        <w:rPr>
          <w:rFonts w:ascii="Segoe UI" w:hAnsi="Segoe UI" w:cs="Segoe UI"/>
        </w:rPr>
        <w:t>There are 647 fauna and flora species and 41 ecological communities listed as threatened in Victoria under the FFG Act. Of these, 207 species are forest dependent and located within Victorian RFA regions (</w:t>
      </w:r>
      <w:r w:rsidRPr="008268EB">
        <w:rPr>
          <w:rFonts w:ascii="Segoe UI" w:hAnsi="Segoe UI" w:cs="Segoe UI"/>
        </w:rPr>
        <w:fldChar w:fldCharType="begin"/>
      </w:r>
      <w:r w:rsidRPr="008268EB">
        <w:rPr>
          <w:rFonts w:ascii="Segoe UI" w:hAnsi="Segoe UI" w:cs="Segoe UI"/>
        </w:rPr>
        <w:instrText xml:space="preserve"> REF _Ref14772804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11</w:t>
      </w:r>
      <w:r w:rsidRPr="008268EB">
        <w:rPr>
          <w:rFonts w:ascii="Segoe UI" w:hAnsi="Segoe UI" w:cs="Segoe UI"/>
        </w:rPr>
        <w:fldChar w:fldCharType="end"/>
      </w:r>
      <w:r w:rsidRPr="008268EB">
        <w:rPr>
          <w:rFonts w:ascii="Segoe UI" w:hAnsi="Segoe UI" w:cs="Segoe UI"/>
        </w:rPr>
        <w:t xml:space="preserve">). </w:t>
      </w:r>
    </w:p>
    <w:p w:rsidR="008268EB" w:rsidRPr="008268EB" w:rsidRDefault="008268EB" w:rsidP="008268EB">
      <w:pPr>
        <w:spacing w:after="200" w:line="240" w:lineRule="auto"/>
        <w:rPr>
          <w:rFonts w:ascii="Segoe UI Semibold" w:eastAsia="Times New Roman" w:hAnsi="Segoe UI Semibold" w:cs="Times New Roman"/>
          <w:color w:val="016295"/>
        </w:rPr>
      </w:pPr>
      <w:bookmarkStart w:id="73" w:name="_Ref14772804"/>
      <w:bookmarkStart w:id="74" w:name="_Toc25660795"/>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11</w:t>
      </w:r>
      <w:r w:rsidRPr="008268EB">
        <w:rPr>
          <w:rFonts w:ascii="Segoe UI Semibold" w:eastAsia="Times New Roman" w:hAnsi="Segoe UI Semibold" w:cs="Times New Roman"/>
          <w:noProof/>
          <w:color w:val="016295"/>
        </w:rPr>
        <w:fldChar w:fldCharType="end"/>
      </w:r>
      <w:bookmarkEnd w:id="73"/>
      <w:r w:rsidRPr="008268EB">
        <w:rPr>
          <w:rFonts w:ascii="Segoe UI Semibold" w:eastAsia="Times New Roman" w:hAnsi="Segoe UI Semibold" w:cs="Times New Roman"/>
          <w:color w:val="016295"/>
        </w:rPr>
        <w:t>: FFG Act listed forest-dependent species by RFA region</w:t>
      </w:r>
      <w:bookmarkEnd w:id="74"/>
    </w:p>
    <w:tbl>
      <w:tblPr>
        <w:tblStyle w:val="xTable1"/>
        <w:tblW w:w="9128" w:type="dxa"/>
        <w:tblLayout w:type="fixed"/>
        <w:tblLook w:val="04E0" w:firstRow="1" w:lastRow="1" w:firstColumn="1" w:lastColumn="0" w:noHBand="0" w:noVBand="1"/>
      </w:tblPr>
      <w:tblGrid>
        <w:gridCol w:w="1304"/>
        <w:gridCol w:w="1304"/>
        <w:gridCol w:w="1304"/>
        <w:gridCol w:w="1304"/>
        <w:gridCol w:w="1304"/>
        <w:gridCol w:w="1304"/>
        <w:gridCol w:w="1304"/>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Species</w:t>
            </w:r>
          </w:p>
        </w:tc>
        <w:tc>
          <w:tcPr>
            <w:tcW w:w="1304"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Central Highlands</w:t>
            </w:r>
          </w:p>
        </w:tc>
        <w:tc>
          <w:tcPr>
            <w:tcW w:w="1304"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East Gippsland</w:t>
            </w:r>
          </w:p>
        </w:tc>
        <w:tc>
          <w:tcPr>
            <w:tcW w:w="1304"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Gippsland</w:t>
            </w:r>
          </w:p>
        </w:tc>
        <w:tc>
          <w:tcPr>
            <w:tcW w:w="1304"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North East</w:t>
            </w:r>
          </w:p>
        </w:tc>
        <w:tc>
          <w:tcPr>
            <w:tcW w:w="1304"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West</w:t>
            </w:r>
          </w:p>
        </w:tc>
        <w:tc>
          <w:tcPr>
            <w:tcW w:w="1304"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 xml:space="preserve">Amphibian </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15</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Bat</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Bird</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32</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Crustacean</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12</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Fish</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Mammal</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45</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Plant</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24</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12</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w:t>
            </w:r>
          </w:p>
        </w:tc>
        <w:tc>
          <w:tcPr>
            <w:tcW w:w="1304" w:type="dxa"/>
            <w:vAlign w:val="center"/>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69</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Reptile</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304" w:type="dxa"/>
            <w:vAlign w:val="center"/>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4" w:type="dxa"/>
            <w:hideMark/>
          </w:tcPr>
          <w:p w:rsidR="008268EB" w:rsidRPr="008268EB" w:rsidRDefault="008268EB" w:rsidP="008268EB">
            <w:pPr>
              <w:rPr>
                <w:rFonts w:ascii="Segoe UI" w:hAnsi="Segoe UI" w:cs="Segoe UI"/>
              </w:rPr>
            </w:pPr>
            <w:r w:rsidRPr="008268EB">
              <w:rPr>
                <w:rFonts w:ascii="Segoe UI" w:hAnsi="Segoe UI" w:cs="Segoe UI"/>
              </w:rPr>
              <w:t>Total</w:t>
            </w:r>
          </w:p>
        </w:tc>
        <w:tc>
          <w:tcPr>
            <w:tcW w:w="1304" w:type="dxa"/>
            <w:vAlign w:val="center"/>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39</w:t>
            </w:r>
          </w:p>
        </w:tc>
        <w:tc>
          <w:tcPr>
            <w:tcW w:w="1304" w:type="dxa"/>
            <w:vAlign w:val="center"/>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53</w:t>
            </w:r>
          </w:p>
        </w:tc>
        <w:tc>
          <w:tcPr>
            <w:tcW w:w="1304" w:type="dxa"/>
            <w:vAlign w:val="center"/>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49</w:t>
            </w:r>
          </w:p>
        </w:tc>
        <w:tc>
          <w:tcPr>
            <w:tcW w:w="1304" w:type="dxa"/>
            <w:vAlign w:val="center"/>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38</w:t>
            </w:r>
          </w:p>
        </w:tc>
        <w:tc>
          <w:tcPr>
            <w:tcW w:w="1304" w:type="dxa"/>
            <w:vAlign w:val="center"/>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28</w:t>
            </w:r>
          </w:p>
        </w:tc>
        <w:tc>
          <w:tcPr>
            <w:tcW w:w="1304" w:type="dxa"/>
            <w:vAlign w:val="center"/>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207</w:t>
            </w:r>
          </w:p>
        </w:tc>
      </w:tr>
    </w:tbl>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Source: Data sourced from verified forest-dependent species observation records in the VBA 1980–2019, accessed July 2019 </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Central Highlands</w:t>
      </w:r>
    </w:p>
    <w:p w:rsidR="008268EB" w:rsidRPr="008268EB" w:rsidRDefault="008268EB" w:rsidP="008268EB">
      <w:pPr>
        <w:jc w:val="both"/>
        <w:rPr>
          <w:rFonts w:ascii="Segoe UI" w:hAnsi="Segoe UI" w:cs="Segoe UI"/>
        </w:rPr>
      </w:pPr>
      <w:bookmarkStart w:id="75" w:name="_Hlk14257645"/>
      <w:r w:rsidRPr="008268EB">
        <w:rPr>
          <w:rFonts w:ascii="Segoe UI" w:hAnsi="Segoe UI" w:cs="Segoe UI"/>
        </w:rPr>
        <w:t xml:space="preserve">The Central Highlands </w:t>
      </w:r>
      <w:bookmarkEnd w:id="75"/>
      <w:r w:rsidRPr="008268EB">
        <w:rPr>
          <w:rFonts w:ascii="Segoe UI" w:hAnsi="Segoe UI" w:cs="Segoe UI"/>
        </w:rPr>
        <w:t>CRA assessed more than 67 plants of conservation significance,</w:t>
      </w:r>
      <w:r w:rsidRPr="008268EB">
        <w:rPr>
          <w:rFonts w:ascii="Segoe UI" w:hAnsi="Segoe UI" w:cs="Segoe UI"/>
          <w:vertAlign w:val="superscript"/>
        </w:rPr>
        <w:footnoteReference w:id="7"/>
      </w:r>
      <w:r w:rsidRPr="008268EB">
        <w:rPr>
          <w:rFonts w:ascii="Segoe UI" w:hAnsi="Segoe UI" w:cs="Segoe UI"/>
        </w:rPr>
        <w:t xml:space="preserve"> including factors that may predispose them to decline or extinction, potential threats and management actions in place to mitigate those threats. The CRA also provided information about 33 species of mammals, reptiles, birds and frogs and 15 flora species that are listed under Commonwealth or state legislation as being threatened. Six FFG Act listed native freshwater fish species were recorded at this time in the Central Highlands and two of these were also listed under the Commonwealth ESP Act when it was in force. </w:t>
      </w:r>
    </w:p>
    <w:p w:rsidR="008268EB" w:rsidRPr="008268EB" w:rsidRDefault="008268EB" w:rsidP="008268EB">
      <w:pPr>
        <w:jc w:val="both"/>
        <w:rPr>
          <w:rFonts w:ascii="Segoe UI" w:hAnsi="Segoe UI" w:cs="Segoe UI"/>
        </w:rPr>
      </w:pPr>
      <w:r w:rsidRPr="008268EB">
        <w:rPr>
          <w:rFonts w:ascii="Segoe UI" w:hAnsi="Segoe UI" w:cs="Segoe UI"/>
        </w:rPr>
        <w:t xml:space="preserve">The Central Highlands area contains populations of Leadbeater's Possum, an endangered species with complex habitat requirements. The Baw </w:t>
      </w:r>
      <w:proofErr w:type="spellStart"/>
      <w:r w:rsidRPr="008268EB">
        <w:rPr>
          <w:rFonts w:ascii="Segoe UI" w:hAnsi="Segoe UI" w:cs="Segoe UI"/>
        </w:rPr>
        <w:t>Baw</w:t>
      </w:r>
      <w:proofErr w:type="spellEnd"/>
      <w:r w:rsidRPr="008268EB">
        <w:rPr>
          <w:rFonts w:ascii="Segoe UI" w:hAnsi="Segoe UI" w:cs="Segoe UI"/>
        </w:rPr>
        <w:t xml:space="preserve"> Frog is also confined to the Central Highlands, where it occupies a restricted range at higher elevations. The region also provides important habitat for a number of large forest owls. The initial discovery of the Baw </w:t>
      </w:r>
      <w:proofErr w:type="spellStart"/>
      <w:r w:rsidRPr="008268EB">
        <w:rPr>
          <w:rFonts w:ascii="Segoe UI" w:hAnsi="Segoe UI" w:cs="Segoe UI"/>
        </w:rPr>
        <w:t>Baw</w:t>
      </w:r>
      <w:proofErr w:type="spellEnd"/>
      <w:r w:rsidRPr="008268EB">
        <w:rPr>
          <w:rFonts w:ascii="Segoe UI" w:hAnsi="Segoe UI" w:cs="Segoe UI"/>
        </w:rPr>
        <w:t xml:space="preserve"> Frog in State forest areas on the south-western and north-eastern escarpments of the Baw </w:t>
      </w:r>
      <w:proofErr w:type="spellStart"/>
      <w:r w:rsidRPr="008268EB">
        <w:rPr>
          <w:rFonts w:ascii="Segoe UI" w:hAnsi="Segoe UI" w:cs="Segoe UI"/>
        </w:rPr>
        <w:t>Baw</w:t>
      </w:r>
      <w:proofErr w:type="spellEnd"/>
      <w:r w:rsidRPr="008268EB">
        <w:rPr>
          <w:rFonts w:ascii="Segoe UI" w:hAnsi="Segoe UI" w:cs="Segoe UI"/>
        </w:rPr>
        <w:t xml:space="preserve"> Plateau in 1996 led to the establishment of interim management guidelines to manage forestry activities in State forest in the species’ habitat. This was followed by the establishment of an SPZ over the area to protect the species and its habitat from the impacts of logging (Hollis 2011). </w:t>
      </w:r>
    </w:p>
    <w:p w:rsidR="008268EB" w:rsidRPr="008268EB" w:rsidRDefault="008268EB" w:rsidP="008268EB">
      <w:pPr>
        <w:jc w:val="both"/>
        <w:rPr>
          <w:rFonts w:ascii="Segoe UI" w:hAnsi="Segoe UI" w:cs="Segoe UI"/>
        </w:rPr>
      </w:pPr>
      <w:r w:rsidRPr="008268EB">
        <w:rPr>
          <w:rFonts w:ascii="Segoe UI" w:hAnsi="Segoe UI" w:cs="Segoe UI"/>
        </w:rPr>
        <w:t>In July 2019, there were 49 EPBC Act listed fauna and flora species known or likely to occur within the Central Highlands RFA region (</w:t>
      </w:r>
      <w:r w:rsidRPr="008268EB">
        <w:rPr>
          <w:rFonts w:ascii="Segoe UI" w:hAnsi="Segoe UI" w:cs="Segoe UI"/>
        </w:rPr>
        <w:fldChar w:fldCharType="begin"/>
      </w:r>
      <w:r w:rsidRPr="008268EB">
        <w:rPr>
          <w:rFonts w:ascii="Segoe UI" w:hAnsi="Segoe UI" w:cs="Segoe UI"/>
        </w:rPr>
        <w:instrText xml:space="preserve"> REF _Ref14772859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12</w:t>
      </w:r>
      <w:r w:rsidRPr="008268EB">
        <w:rPr>
          <w:rFonts w:ascii="Segoe UI" w:hAnsi="Segoe UI" w:cs="Segoe UI"/>
        </w:rPr>
        <w:fldChar w:fldCharType="end"/>
      </w:r>
      <w:r w:rsidRPr="008268EB">
        <w:rPr>
          <w:rFonts w:ascii="Segoe UI" w:hAnsi="Segoe UI" w:cs="Segoe UI"/>
        </w:rPr>
        <w:t>). Since the commencement of the EPBC Act, 17 additional species known or likely to occur in the Central Highlands RFA region have been listed as threatened under this legislation.</w:t>
      </w:r>
    </w:p>
    <w:p w:rsidR="008268EB" w:rsidRPr="008268EB" w:rsidRDefault="008268EB" w:rsidP="008268EB">
      <w:pPr>
        <w:spacing w:after="200" w:line="240" w:lineRule="auto"/>
        <w:rPr>
          <w:rFonts w:ascii="Segoe UI Semibold" w:eastAsia="Times New Roman" w:hAnsi="Segoe UI Semibold" w:cs="Times New Roman"/>
          <w:color w:val="016295"/>
        </w:rPr>
      </w:pPr>
      <w:bookmarkStart w:id="76" w:name="_Ref14772859"/>
      <w:bookmarkStart w:id="77" w:name="_Toc25660796"/>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12</w:t>
      </w:r>
      <w:r w:rsidRPr="008268EB">
        <w:rPr>
          <w:rFonts w:ascii="Segoe UI Semibold" w:eastAsia="Times New Roman" w:hAnsi="Segoe UI Semibold" w:cs="Times New Roman"/>
          <w:noProof/>
          <w:color w:val="016295"/>
        </w:rPr>
        <w:fldChar w:fldCharType="end"/>
      </w:r>
      <w:bookmarkEnd w:id="76"/>
      <w:r w:rsidRPr="008268EB">
        <w:rPr>
          <w:rFonts w:ascii="Segoe UI Semibold" w:eastAsia="Times New Roman" w:hAnsi="Segoe UI Semibold" w:cs="Times New Roman"/>
          <w:color w:val="016295"/>
        </w:rPr>
        <w:t>: Number of EPBC Act listed species known or likely to occur in the Central Highlands RFA region as of July 2019</w:t>
      </w:r>
      <w:bookmarkEnd w:id="77"/>
    </w:p>
    <w:tbl>
      <w:tblPr>
        <w:tblStyle w:val="xTable1"/>
        <w:tblW w:w="0" w:type="auto"/>
        <w:tblLayout w:type="fixed"/>
        <w:tblLook w:val="04E0" w:firstRow="1" w:lastRow="1" w:firstColumn="1" w:lastColumn="0" w:noHBand="0" w:noVBand="1"/>
      </w:tblPr>
      <w:tblGrid>
        <w:gridCol w:w="1709"/>
        <w:gridCol w:w="1420"/>
        <w:gridCol w:w="1420"/>
        <w:gridCol w:w="1420"/>
        <w:gridCol w:w="1420"/>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 xml:space="preserve">Type </w:t>
            </w:r>
          </w:p>
        </w:tc>
        <w:tc>
          <w:tcPr>
            <w:tcW w:w="1420"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Critically endangered</w:t>
            </w:r>
          </w:p>
        </w:tc>
        <w:tc>
          <w:tcPr>
            <w:tcW w:w="1420"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Endangered</w:t>
            </w:r>
          </w:p>
        </w:tc>
        <w:tc>
          <w:tcPr>
            <w:tcW w:w="1420"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Vulnerable</w:t>
            </w:r>
          </w:p>
        </w:tc>
        <w:tc>
          <w:tcPr>
            <w:tcW w:w="1420"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Bird</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Crustacean</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Flora</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13</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23</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Freshwater fish</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Frog</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Insect</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Mammal</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Reptile</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Other</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1420" w:type="dxa"/>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9" w:type="dxa"/>
            <w:hideMark/>
          </w:tcPr>
          <w:p w:rsidR="008268EB" w:rsidRPr="008268EB" w:rsidRDefault="008268EB" w:rsidP="008268EB">
            <w:pPr>
              <w:rPr>
                <w:rFonts w:ascii="Segoe UI" w:hAnsi="Segoe UI" w:cs="Segoe UI"/>
              </w:rPr>
            </w:pPr>
            <w:r w:rsidRPr="008268EB">
              <w:rPr>
                <w:rFonts w:ascii="Segoe UI" w:hAnsi="Segoe UI" w:cs="Segoe UI"/>
              </w:rPr>
              <w:t xml:space="preserve">Total </w:t>
            </w:r>
          </w:p>
        </w:tc>
        <w:tc>
          <w:tcPr>
            <w:tcW w:w="1420" w:type="dxa"/>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c>
          <w:tcPr>
            <w:tcW w:w="1420" w:type="dxa"/>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15</w:t>
            </w:r>
          </w:p>
        </w:tc>
        <w:tc>
          <w:tcPr>
            <w:tcW w:w="1420" w:type="dxa"/>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24</w:t>
            </w:r>
          </w:p>
        </w:tc>
        <w:tc>
          <w:tcPr>
            <w:tcW w:w="1420" w:type="dxa"/>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49</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Note: Marine mammals, fish, sharks and migratory birds that are restricted to coastal and marine environments are excluded from the list.</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 xml:space="preserve">East Gippsland </w:t>
      </w:r>
    </w:p>
    <w:p w:rsidR="008268EB" w:rsidRPr="008268EB" w:rsidRDefault="008268EB" w:rsidP="008268EB">
      <w:pPr>
        <w:jc w:val="both"/>
        <w:rPr>
          <w:rFonts w:ascii="Segoe UI" w:hAnsi="Segoe UI" w:cs="Segoe UI"/>
        </w:rPr>
      </w:pPr>
      <w:r w:rsidRPr="008268EB">
        <w:rPr>
          <w:rFonts w:ascii="Segoe UI" w:hAnsi="Segoe UI" w:cs="Segoe UI"/>
        </w:rPr>
        <w:t xml:space="preserve">The East Gippsland CRA assessed 369 flora species of conservation significance, including factors that may predispose them to decline or extinction, potential threats and management actions in place to mitigate those threats. The CRA also provided information about 38 species of mammals, reptiles, birds and frogs. Of the 29 native freshwater fish species recorded from East Gippsland in the CRA, four were listed under the FFG Act, and three were listed under the ESP Act. </w:t>
      </w:r>
    </w:p>
    <w:p w:rsidR="008268EB" w:rsidRPr="008268EB" w:rsidRDefault="008268EB" w:rsidP="008268EB">
      <w:pPr>
        <w:jc w:val="both"/>
        <w:rPr>
          <w:rFonts w:ascii="Segoe UI" w:hAnsi="Segoe UI" w:cs="Segoe UI"/>
        </w:rPr>
      </w:pPr>
      <w:r w:rsidRPr="008268EB">
        <w:rPr>
          <w:rFonts w:ascii="Segoe UI" w:hAnsi="Segoe UI" w:cs="Segoe UI"/>
        </w:rPr>
        <w:t xml:space="preserve">Species assessed in the CRA include the Long-footed Potoroo, Smoky Mouse, Broad-toothed Rat, Powerful Owl and Sooty Owl. </w:t>
      </w:r>
    </w:p>
    <w:p w:rsidR="008268EB" w:rsidRPr="008268EB" w:rsidRDefault="008268EB" w:rsidP="008268EB">
      <w:pPr>
        <w:jc w:val="both"/>
        <w:rPr>
          <w:rFonts w:ascii="Segoe UI" w:hAnsi="Segoe UI" w:cs="Segoe UI"/>
        </w:rPr>
      </w:pPr>
      <w:r w:rsidRPr="008268EB">
        <w:rPr>
          <w:rFonts w:ascii="Segoe UI" w:hAnsi="Segoe UI" w:cs="Segoe UI"/>
        </w:rPr>
        <w:t>As of July 2019, there were 52 EPBC Act listed fauna and flora species known or likely to occur within the East Gippsland RFA region (</w:t>
      </w:r>
      <w:r w:rsidRPr="008268EB">
        <w:rPr>
          <w:rFonts w:ascii="Segoe UI" w:hAnsi="Segoe UI" w:cs="Segoe UI"/>
        </w:rPr>
        <w:fldChar w:fldCharType="begin"/>
      </w:r>
      <w:r w:rsidRPr="008268EB">
        <w:rPr>
          <w:rFonts w:ascii="Segoe UI" w:hAnsi="Segoe UI" w:cs="Segoe UI"/>
        </w:rPr>
        <w:instrText xml:space="preserve"> REF _Ref14772993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Table 13</w:t>
      </w:r>
      <w:r w:rsidRPr="008268EB">
        <w:rPr>
          <w:rFonts w:ascii="Segoe UI" w:hAnsi="Segoe UI" w:cs="Segoe UI"/>
        </w:rPr>
        <w:fldChar w:fldCharType="end"/>
      </w:r>
      <w:r w:rsidRPr="008268EB">
        <w:rPr>
          <w:rFonts w:ascii="Segoe UI" w:hAnsi="Segoe UI" w:cs="Segoe UI"/>
        </w:rPr>
        <w:t>). Since the commencement of the EPBC Act, 13 additional species known or likely to occur in the East Gippsland RFA region have been listed as threatened under this legislation.</w:t>
      </w:r>
    </w:p>
    <w:p w:rsidR="008268EB" w:rsidRPr="008268EB" w:rsidRDefault="008268EB" w:rsidP="008268EB">
      <w:pPr>
        <w:jc w:val="both"/>
        <w:rPr>
          <w:rFonts w:ascii="Segoe UI" w:hAnsi="Segoe UI" w:cs="Segoe UI"/>
        </w:rPr>
      </w:pPr>
    </w:p>
    <w:p w:rsidR="008268EB" w:rsidRPr="008268EB" w:rsidRDefault="008268EB" w:rsidP="008268EB">
      <w:pPr>
        <w:spacing w:after="200" w:line="240" w:lineRule="auto"/>
        <w:rPr>
          <w:rFonts w:ascii="Segoe UI Semibold" w:eastAsia="Times New Roman" w:hAnsi="Segoe UI Semibold" w:cs="Times New Roman"/>
          <w:color w:val="016295"/>
        </w:rPr>
      </w:pPr>
      <w:bookmarkStart w:id="78" w:name="_Ref14772993"/>
      <w:bookmarkStart w:id="79" w:name="_Toc25660799"/>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13</w:t>
      </w:r>
      <w:r w:rsidRPr="008268EB">
        <w:rPr>
          <w:rFonts w:ascii="Segoe UI Semibold" w:eastAsia="Times New Roman" w:hAnsi="Segoe UI Semibold" w:cs="Times New Roman"/>
          <w:noProof/>
          <w:color w:val="016295"/>
        </w:rPr>
        <w:fldChar w:fldCharType="end"/>
      </w:r>
      <w:bookmarkEnd w:id="78"/>
      <w:r w:rsidRPr="008268EB">
        <w:rPr>
          <w:rFonts w:ascii="Segoe UI Semibold" w:eastAsia="Times New Roman" w:hAnsi="Segoe UI Semibold" w:cs="Times New Roman"/>
          <w:color w:val="016295"/>
        </w:rPr>
        <w:t>: Number of EPBC Act listed species known or likely to occur in the East Gippsland RFA region as of July 2019</w:t>
      </w:r>
      <w:bookmarkEnd w:id="79"/>
    </w:p>
    <w:tbl>
      <w:tblPr>
        <w:tblStyle w:val="xTable1"/>
        <w:tblW w:w="4280" w:type="pct"/>
        <w:tblLayout w:type="fixed"/>
        <w:tblLook w:val="04E0" w:firstRow="1" w:lastRow="1" w:firstColumn="1" w:lastColumn="0" w:noHBand="0" w:noVBand="1"/>
      </w:tblPr>
      <w:tblGrid>
        <w:gridCol w:w="1818"/>
        <w:gridCol w:w="1477"/>
        <w:gridCol w:w="1477"/>
        <w:gridCol w:w="1477"/>
        <w:gridCol w:w="1477"/>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 xml:space="preserve">Type </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Critically endangered</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Endangered</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Vulnerable</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FFFFF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Bird</w:t>
            </w:r>
          </w:p>
        </w:tc>
        <w:tc>
          <w:tcPr>
            <w:tcW w:w="956" w:type="pct"/>
            <w:tcBorders>
              <w:top w:val="single" w:sz="8" w:space="0" w:color="FFFFF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956" w:type="pct"/>
            <w:tcBorders>
              <w:top w:val="single" w:sz="8" w:space="0" w:color="FFFFF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956" w:type="pct"/>
            <w:tcBorders>
              <w:top w:val="single" w:sz="8" w:space="0" w:color="FFFFF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956" w:type="pct"/>
            <w:tcBorders>
              <w:top w:val="single" w:sz="8" w:space="0" w:color="FFFFF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Crustacean</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Flora</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27</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Freshwater fish</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Frog</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Insect</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Mammal</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Reptile</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BFBFBF" w:themeColor="background1" w:themeShade="BF"/>
              <w:bottom w:val="single" w:sz="8" w:space="0" w:color="auto"/>
            </w:tcBorders>
            <w:vAlign w:val="center"/>
            <w:hideMark/>
          </w:tcPr>
          <w:p w:rsidR="008268EB" w:rsidRPr="008268EB" w:rsidRDefault="008268EB" w:rsidP="008268EB">
            <w:pPr>
              <w:rPr>
                <w:rFonts w:ascii="Segoe UI" w:hAnsi="Segoe UI" w:cs="Segoe UI"/>
              </w:rPr>
            </w:pPr>
            <w:r w:rsidRPr="008268EB">
              <w:rPr>
                <w:rFonts w:ascii="Segoe UI" w:hAnsi="Segoe UI" w:cs="Segoe UI"/>
              </w:rPr>
              <w:t>Other</w:t>
            </w:r>
          </w:p>
        </w:tc>
        <w:tc>
          <w:tcPr>
            <w:tcW w:w="956"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56"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6" w:type="pct"/>
            <w:tcBorders>
              <w:top w:val="single" w:sz="8" w:space="0" w:color="auto"/>
              <w:bottom w:val="single" w:sz="8" w:space="0" w:color="auto"/>
            </w:tcBorders>
            <w:hideMark/>
          </w:tcPr>
          <w:p w:rsidR="008268EB" w:rsidRPr="008268EB" w:rsidRDefault="008268EB" w:rsidP="008268EB">
            <w:pPr>
              <w:rPr>
                <w:rFonts w:ascii="Segoe UI" w:hAnsi="Segoe UI" w:cs="Segoe UI"/>
              </w:rPr>
            </w:pPr>
            <w:r w:rsidRPr="008268EB">
              <w:rPr>
                <w:rFonts w:ascii="Segoe UI" w:hAnsi="Segoe UI" w:cs="Segoe UI"/>
              </w:rPr>
              <w:t xml:space="preserve">Total </w:t>
            </w:r>
          </w:p>
        </w:tc>
        <w:tc>
          <w:tcPr>
            <w:tcW w:w="956"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3</w:t>
            </w:r>
          </w:p>
        </w:tc>
        <w:tc>
          <w:tcPr>
            <w:tcW w:w="956"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11</w:t>
            </w:r>
          </w:p>
        </w:tc>
        <w:tc>
          <w:tcPr>
            <w:tcW w:w="956"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38</w:t>
            </w:r>
          </w:p>
        </w:tc>
        <w:tc>
          <w:tcPr>
            <w:tcW w:w="956"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52</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Note: Marine mammals, fish, sharks and migratory birds that are restricted to coastal and marine environments are excluded from the list.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 xml:space="preserve">Gippsland </w:t>
      </w:r>
    </w:p>
    <w:p w:rsidR="008268EB" w:rsidRPr="008268EB" w:rsidRDefault="008268EB" w:rsidP="008268EB">
      <w:pPr>
        <w:jc w:val="both"/>
        <w:rPr>
          <w:rFonts w:ascii="Segoe UI" w:hAnsi="Segoe UI" w:cs="Segoe UI"/>
        </w:rPr>
      </w:pPr>
      <w:r w:rsidRPr="008268EB">
        <w:rPr>
          <w:rFonts w:ascii="Segoe UI" w:hAnsi="Segoe UI" w:cs="Segoe UI"/>
        </w:rPr>
        <w:t xml:space="preserve">The Gippsland CRA assessed more than 73 plants of conservation significance (nine listed under the ESP Act), including factors that may predispose them to decline or extinction, potential threats and management actions in place to mitigate those threats. The CRA also provided information about 39 species of mammals, reptiles, birds and frogs species (five of these were listed under the ESP Act). High-priority threatened species as well as indicator species were assessed. Of the 21 native freshwater fish species recorded from Gippsland in the CRA, five were listed under the FFG Act, and one was listed under the ESP Act. </w:t>
      </w:r>
    </w:p>
    <w:p w:rsidR="008268EB" w:rsidRPr="008268EB" w:rsidRDefault="008268EB" w:rsidP="008268EB">
      <w:pPr>
        <w:jc w:val="both"/>
        <w:rPr>
          <w:rFonts w:ascii="Segoe UI" w:hAnsi="Segoe UI" w:cs="Segoe UI"/>
        </w:rPr>
      </w:pPr>
      <w:r w:rsidRPr="008268EB">
        <w:rPr>
          <w:rFonts w:ascii="Segoe UI" w:hAnsi="Segoe UI" w:cs="Segoe UI"/>
        </w:rPr>
        <w:t xml:space="preserve">Four of the 39 species assessed in the CRA were considered vulnerable to stochastic events, such as wildfire, due to the combination of small geographic range size, low abundance and narrow habitat specificity; these were the Long-footed Potoroo, New Holland Mouse, Southern Horseshoe Bat and Swamp Skink. The CRA recommended that these species be given particular consideration in developing priorities for management action. The EPBC Act listed Long-footed Potoroo and New Holland Mouse have both (subsequent to the RFA) had conservation advice and/or recovery plans developed. </w:t>
      </w:r>
    </w:p>
    <w:p w:rsidR="008268EB" w:rsidRPr="008268EB" w:rsidRDefault="008268EB" w:rsidP="008268EB">
      <w:pPr>
        <w:jc w:val="both"/>
        <w:rPr>
          <w:rFonts w:ascii="Segoe UI" w:hAnsi="Segoe UI" w:cs="Segoe UI"/>
        </w:rPr>
      </w:pPr>
      <w:r w:rsidRPr="008268EB">
        <w:rPr>
          <w:rFonts w:ascii="Segoe UI" w:hAnsi="Segoe UI" w:cs="Segoe UI"/>
        </w:rPr>
        <w:t>As of July 2019, there were 80 EPBC Act listed fauna and flora species known or likely to occur within the Gippsland RFA region (</w:t>
      </w:r>
      <w:r w:rsidRPr="008268EB">
        <w:rPr>
          <w:rFonts w:ascii="Segoe UI" w:hAnsi="Segoe UI" w:cs="Segoe UI"/>
        </w:rPr>
        <w:fldChar w:fldCharType="begin"/>
      </w:r>
      <w:r w:rsidRPr="008268EB">
        <w:rPr>
          <w:rFonts w:ascii="Segoe UI" w:hAnsi="Segoe UI" w:cs="Segoe UI"/>
        </w:rPr>
        <w:instrText xml:space="preserve"> REF _Ref14772962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14</w:t>
      </w:r>
      <w:r w:rsidRPr="008268EB">
        <w:rPr>
          <w:rFonts w:ascii="Segoe UI" w:hAnsi="Segoe UI" w:cs="Segoe UI"/>
        </w:rPr>
        <w:fldChar w:fldCharType="end"/>
      </w:r>
      <w:r w:rsidRPr="008268EB">
        <w:rPr>
          <w:rFonts w:ascii="Segoe UI" w:hAnsi="Segoe UI" w:cs="Segoe UI"/>
        </w:rPr>
        <w:t>). Since the commencement of the EPBC Act, 28 additional species known or likely to occur in the Gippsland RFA region have been listed as threatened under this legislation.</w:t>
      </w:r>
    </w:p>
    <w:p w:rsidR="008268EB" w:rsidRPr="008268EB" w:rsidRDefault="008268EB" w:rsidP="008268EB">
      <w:pPr>
        <w:spacing w:after="200" w:line="240" w:lineRule="auto"/>
        <w:rPr>
          <w:rFonts w:ascii="Segoe UI Semibold" w:eastAsia="Times New Roman" w:hAnsi="Segoe UI Semibold" w:cs="Times New Roman"/>
          <w:color w:val="016295"/>
        </w:rPr>
      </w:pPr>
      <w:bookmarkStart w:id="80" w:name="_Ref14772962"/>
      <w:bookmarkStart w:id="81" w:name="_Toc25660798"/>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14</w:t>
      </w:r>
      <w:r w:rsidRPr="008268EB">
        <w:rPr>
          <w:rFonts w:ascii="Segoe UI Semibold" w:eastAsia="Times New Roman" w:hAnsi="Segoe UI Semibold" w:cs="Times New Roman"/>
          <w:noProof/>
          <w:color w:val="016295"/>
        </w:rPr>
        <w:fldChar w:fldCharType="end"/>
      </w:r>
      <w:bookmarkEnd w:id="80"/>
      <w:r w:rsidRPr="008268EB">
        <w:rPr>
          <w:rFonts w:ascii="Segoe UI Semibold" w:eastAsia="Times New Roman" w:hAnsi="Segoe UI Semibold" w:cs="Times New Roman"/>
          <w:color w:val="016295"/>
        </w:rPr>
        <w:t>: Number of EPBC Act listed species known or likely to occur in the Gippsland RFA region as of July 2019</w:t>
      </w:r>
      <w:bookmarkEnd w:id="81"/>
    </w:p>
    <w:tbl>
      <w:tblPr>
        <w:tblStyle w:val="xTable1"/>
        <w:tblW w:w="4154" w:type="pct"/>
        <w:tblLayout w:type="fixed"/>
        <w:tblLook w:val="04E0" w:firstRow="1" w:lastRow="1" w:firstColumn="1" w:lastColumn="0" w:noHBand="0" w:noVBand="1"/>
      </w:tblPr>
      <w:tblGrid>
        <w:gridCol w:w="1819"/>
        <w:gridCol w:w="1420"/>
        <w:gridCol w:w="1420"/>
        <w:gridCol w:w="1420"/>
        <w:gridCol w:w="1420"/>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 xml:space="preserve">Type </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Critically endangered</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Endangered</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Vulnerable</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Bird</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6</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4</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4</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Crustacean</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2" w:type="pct"/>
            <w:hideMark/>
          </w:tcPr>
          <w:p w:rsidR="008268EB" w:rsidRPr="008268EB" w:rsidRDefault="008268EB" w:rsidP="008268EB">
            <w:pPr>
              <w:rPr>
                <w:rFonts w:ascii="Segoe UI" w:hAnsi="Segoe UI" w:cs="Segoe UI"/>
              </w:rPr>
            </w:pPr>
            <w:r w:rsidRPr="008268EB">
              <w:rPr>
                <w:rFonts w:ascii="Segoe UI" w:hAnsi="Segoe UI" w:cs="Segoe UI"/>
              </w:rPr>
              <w:t>Flora</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9</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28</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39</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Freshwater fish</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Frog</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4</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Insect</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Mammal</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5</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7</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13</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2" w:type="pct"/>
            <w:hideMark/>
          </w:tcPr>
          <w:p w:rsidR="008268EB" w:rsidRPr="008268EB" w:rsidRDefault="008268EB" w:rsidP="008268EB">
            <w:pPr>
              <w:rPr>
                <w:rFonts w:ascii="Segoe UI" w:hAnsi="Segoe UI" w:cs="Segoe UI"/>
              </w:rPr>
            </w:pPr>
            <w:r w:rsidRPr="008268EB">
              <w:rPr>
                <w:rFonts w:ascii="Segoe UI" w:hAnsi="Segoe UI" w:cs="Segoe UI"/>
              </w:rPr>
              <w:t>Reptile</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2" w:type="pct"/>
            <w:vAlign w:val="center"/>
            <w:hideMark/>
          </w:tcPr>
          <w:p w:rsidR="008268EB" w:rsidRPr="008268EB" w:rsidRDefault="008268EB" w:rsidP="008268EB">
            <w:pPr>
              <w:rPr>
                <w:rFonts w:ascii="Segoe UI" w:hAnsi="Segoe UI" w:cs="Segoe UI"/>
              </w:rPr>
            </w:pPr>
            <w:r w:rsidRPr="008268EB">
              <w:rPr>
                <w:rFonts w:ascii="Segoe UI" w:hAnsi="Segoe UI" w:cs="Segoe UI"/>
              </w:rPr>
              <w:t>Other</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2" w:type="pct"/>
            <w:hideMark/>
          </w:tcPr>
          <w:p w:rsidR="008268EB" w:rsidRPr="008268EB" w:rsidRDefault="008268EB" w:rsidP="008268EB">
            <w:pPr>
              <w:rPr>
                <w:rFonts w:ascii="Segoe UI" w:hAnsi="Segoe UI" w:cs="Segoe UI"/>
              </w:rPr>
            </w:pPr>
            <w:r w:rsidRPr="008268EB">
              <w:rPr>
                <w:rFonts w:ascii="Segoe UI" w:hAnsi="Segoe UI" w:cs="Segoe UI"/>
              </w:rPr>
              <w:t xml:space="preserve">Total </w:t>
            </w:r>
          </w:p>
        </w:tc>
        <w:tc>
          <w:tcPr>
            <w:tcW w:w="947"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11</w:t>
            </w:r>
          </w:p>
        </w:tc>
        <w:tc>
          <w:tcPr>
            <w:tcW w:w="947"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23</w:t>
            </w:r>
          </w:p>
        </w:tc>
        <w:tc>
          <w:tcPr>
            <w:tcW w:w="947"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46</w:t>
            </w:r>
          </w:p>
        </w:tc>
        <w:tc>
          <w:tcPr>
            <w:tcW w:w="947"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80</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Note: Marine mammals, fish, sharks and migratory birds that are restricted to coastal and marine environments are excluded from the list.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North East</w:t>
      </w:r>
    </w:p>
    <w:p w:rsidR="008268EB" w:rsidRPr="008268EB" w:rsidRDefault="008268EB" w:rsidP="008268EB">
      <w:pPr>
        <w:jc w:val="both"/>
        <w:rPr>
          <w:rFonts w:ascii="Segoe UI" w:hAnsi="Segoe UI" w:cs="Segoe UI"/>
        </w:rPr>
      </w:pPr>
      <w:r w:rsidRPr="008268EB">
        <w:rPr>
          <w:rFonts w:ascii="Segoe UI" w:hAnsi="Segoe UI" w:cs="Segoe UI"/>
        </w:rPr>
        <w:t>The North East CRA assessed more than 29 plants of conservation significance (14 listed under the ESP Act), including factors that may predispose them to decline or extinction, potential threats and management actions in place to mitigate those threats. The CRA also provided information about 49 species of mammals, reptiles, birds and frogs (six of these were listed under the ESP Act). At the time of the CRA, of the 14 native freshwater fish species recorded from the North East, eight are listed as threatened fauna in Victoria, including four which are listed under the FFG Act, and two of these four, which are also listed under the ESP Act.</w:t>
      </w:r>
    </w:p>
    <w:p w:rsidR="008268EB" w:rsidRPr="008268EB" w:rsidRDefault="008268EB" w:rsidP="008268EB">
      <w:pPr>
        <w:jc w:val="both"/>
        <w:rPr>
          <w:rFonts w:ascii="Segoe UI" w:hAnsi="Segoe UI" w:cs="Segoe UI"/>
        </w:rPr>
      </w:pPr>
      <w:r w:rsidRPr="008268EB">
        <w:rPr>
          <w:rFonts w:ascii="Segoe UI" w:hAnsi="Segoe UI" w:cs="Segoe UI"/>
        </w:rPr>
        <w:t>The Long-footed Potoroo and Spotted Tree Frog were two priority species (listed nationally at that time under the ESP Act and currently listed under the EPBC Act) occurring in this RFA region and assessed as part of the CRA. Under the RFA, protections for these species included protections within the CAR reserve system and prescriptions.</w:t>
      </w:r>
    </w:p>
    <w:p w:rsidR="008268EB" w:rsidRPr="008268EB" w:rsidRDefault="008268EB" w:rsidP="008268EB">
      <w:pPr>
        <w:jc w:val="both"/>
        <w:rPr>
          <w:rFonts w:ascii="Segoe UI" w:hAnsi="Segoe UI" w:cs="Segoe UI"/>
        </w:rPr>
      </w:pPr>
      <w:r w:rsidRPr="008268EB">
        <w:rPr>
          <w:rFonts w:ascii="Segoe UI" w:hAnsi="Segoe UI" w:cs="Segoe UI"/>
        </w:rPr>
        <w:t xml:space="preserve">Since the signing of the North East RFA, an action statement under the FFG Act and a National Recovery Plan and Conservation Advice under the EPBC Act have been developed for the Spotted Tree Frog. These guide actions to conserve this species. </w:t>
      </w:r>
    </w:p>
    <w:p w:rsidR="008268EB" w:rsidRPr="008268EB" w:rsidRDefault="008268EB" w:rsidP="008268EB">
      <w:pPr>
        <w:jc w:val="both"/>
        <w:rPr>
          <w:rFonts w:ascii="Segoe UI" w:hAnsi="Segoe UI" w:cs="Segoe UI"/>
        </w:rPr>
      </w:pPr>
      <w:r w:rsidRPr="008268EB">
        <w:rPr>
          <w:rFonts w:ascii="Segoe UI" w:hAnsi="Segoe UI" w:cs="Segoe UI"/>
        </w:rPr>
        <w:t>As of July 2019, there were 56 EPBC Act listed fauna and flora species known or likely to occur within the North East RFA region (</w:t>
      </w:r>
      <w:r w:rsidRPr="008268EB">
        <w:rPr>
          <w:rFonts w:ascii="Segoe UI" w:hAnsi="Segoe UI" w:cs="Segoe UI"/>
        </w:rPr>
        <w:fldChar w:fldCharType="begin"/>
      </w:r>
      <w:r w:rsidRPr="008268EB">
        <w:rPr>
          <w:rFonts w:ascii="Segoe UI" w:hAnsi="Segoe UI" w:cs="Segoe UI"/>
        </w:rPr>
        <w:instrText xml:space="preserve"> REF _Ref30758632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15</w:t>
      </w:r>
      <w:r w:rsidRPr="008268EB">
        <w:rPr>
          <w:rFonts w:ascii="Segoe UI" w:hAnsi="Segoe UI" w:cs="Segoe UI"/>
        </w:rPr>
        <w:fldChar w:fldCharType="end"/>
      </w:r>
      <w:r w:rsidRPr="008268EB">
        <w:rPr>
          <w:rFonts w:ascii="Segoe UI" w:hAnsi="Segoe UI" w:cs="Segoe UI"/>
        </w:rPr>
        <w:fldChar w:fldCharType="begin"/>
      </w:r>
      <w:r w:rsidRPr="008268EB">
        <w:rPr>
          <w:rFonts w:ascii="Segoe UI" w:hAnsi="Segoe UI" w:cs="Segoe UI"/>
        </w:rPr>
        <w:instrText xml:space="preserve"> REF _Ref14772962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14</w:t>
      </w:r>
      <w:r w:rsidRPr="008268EB">
        <w:rPr>
          <w:rFonts w:ascii="Segoe UI" w:hAnsi="Segoe UI" w:cs="Segoe UI"/>
        </w:rPr>
        <w:fldChar w:fldCharType="end"/>
      </w:r>
      <w:r w:rsidRPr="008268EB">
        <w:rPr>
          <w:rFonts w:ascii="Segoe UI" w:hAnsi="Segoe UI" w:cs="Segoe UI"/>
        </w:rPr>
        <w:t>). Since the commencement of the EPBC Act, 22 additional species known or likely to occur in the North East RFA region have been listed as threatened under this legislation.</w:t>
      </w:r>
    </w:p>
    <w:p w:rsidR="008268EB" w:rsidRPr="008268EB" w:rsidRDefault="008268EB" w:rsidP="008268EB">
      <w:pPr>
        <w:spacing w:after="200" w:line="240" w:lineRule="auto"/>
        <w:rPr>
          <w:rFonts w:ascii="Segoe UI Semibold" w:eastAsia="Times New Roman" w:hAnsi="Segoe UI Semibold" w:cs="Times New Roman"/>
          <w:color w:val="016295"/>
        </w:rPr>
      </w:pPr>
      <w:bookmarkStart w:id="82" w:name="_Ref14772932"/>
      <w:bookmarkStart w:id="83" w:name="_Ref30758632"/>
      <w:bookmarkStart w:id="84" w:name="_Toc25660797"/>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15</w:t>
      </w:r>
      <w:r w:rsidRPr="008268EB">
        <w:rPr>
          <w:rFonts w:ascii="Segoe UI Semibold" w:eastAsia="Times New Roman" w:hAnsi="Segoe UI Semibold" w:cs="Times New Roman"/>
          <w:noProof/>
          <w:color w:val="016295"/>
        </w:rPr>
        <w:fldChar w:fldCharType="end"/>
      </w:r>
      <w:bookmarkEnd w:id="82"/>
      <w:bookmarkEnd w:id="83"/>
      <w:r w:rsidRPr="008268EB">
        <w:rPr>
          <w:rFonts w:ascii="Segoe UI Semibold" w:eastAsia="Times New Roman" w:hAnsi="Segoe UI Semibold" w:cs="Times New Roman"/>
          <w:color w:val="016295"/>
        </w:rPr>
        <w:t>: Number of EPBC Act listed species known or likely to occur in the North East RFA region as of July 2019</w:t>
      </w:r>
      <w:bookmarkEnd w:id="84"/>
    </w:p>
    <w:tbl>
      <w:tblPr>
        <w:tblStyle w:val="xTable1"/>
        <w:tblW w:w="4165" w:type="pct"/>
        <w:tblLayout w:type="fixed"/>
        <w:tblLook w:val="04E0" w:firstRow="1" w:lastRow="1" w:firstColumn="1" w:lastColumn="0" w:noHBand="0" w:noVBand="1"/>
      </w:tblPr>
      <w:tblGrid>
        <w:gridCol w:w="1819"/>
        <w:gridCol w:w="1425"/>
        <w:gridCol w:w="1426"/>
        <w:gridCol w:w="1426"/>
        <w:gridCol w:w="1423"/>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pct"/>
            <w:hideMark/>
          </w:tcPr>
          <w:p w:rsidR="008268EB" w:rsidRPr="008268EB" w:rsidRDefault="008268EB" w:rsidP="008268EB">
            <w:pPr>
              <w:rPr>
                <w:rFonts w:ascii="Segoe UI" w:hAnsi="Segoe UI" w:cs="Segoe UI"/>
              </w:rPr>
            </w:pPr>
            <w:r w:rsidRPr="008268EB">
              <w:rPr>
                <w:rFonts w:ascii="Segoe UI" w:hAnsi="Segoe UI" w:cs="Segoe UI"/>
              </w:rPr>
              <w:t xml:space="preserve">Type </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Critically endangered</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Endangered</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Vulnerable</w:t>
            </w:r>
          </w:p>
        </w:tc>
        <w:tc>
          <w:tcPr>
            <w:tcW w:w="0"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Bird</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3</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1</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Crustacean</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Flora</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4</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20</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Freshwater fish</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3</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6</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Frog</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3</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2</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5</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Insect</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1</w:t>
            </w:r>
          </w:p>
        </w:tc>
        <w:tc>
          <w:tcPr>
            <w:tcW w:w="948"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Mammal</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4</w:t>
            </w:r>
          </w:p>
        </w:tc>
        <w:tc>
          <w:tcPr>
            <w:tcW w:w="948"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3</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7</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Reptile</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c>
          <w:tcPr>
            <w:tcW w:w="0"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2</w:t>
            </w:r>
          </w:p>
        </w:tc>
        <w:tc>
          <w:tcPr>
            <w:tcW w:w="947" w:type="pct"/>
            <w:vAlign w:val="center"/>
            <w:hideMark/>
          </w:tcPr>
          <w:p w:rsidR="008268EB" w:rsidRPr="008268EB" w:rsidRDefault="008268EB" w:rsidP="008268EB">
            <w:pPr>
              <w:jc w:val="right"/>
              <w:cnfStyle w:val="000000010000" w:firstRow="0" w:lastRow="0" w:firstColumn="0" w:lastColumn="0" w:oddVBand="0" w:evenVBand="0" w:oddHBand="0" w:evenHBand="1" w:firstRowFirstColumn="0" w:firstRowLastColumn="0" w:lastRowFirstColumn="0" w:lastRowLastColumn="0"/>
              <w:rPr>
                <w:rFonts w:ascii="Segoe UI" w:hAnsi="Segoe UI" w:cs="Segoe UI"/>
              </w:rPr>
            </w:pPr>
            <w:r w:rsidRPr="008268EB">
              <w:rPr>
                <w:rFonts w:ascii="Segoe UI" w:hAnsi="Segoe UI" w:cs="Segoe UI"/>
              </w:rPr>
              <w:t>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Other</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0"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c>
          <w:tcPr>
            <w:tcW w:w="947" w:type="pct"/>
            <w:vAlign w:val="center"/>
            <w:hideMark/>
          </w:tcPr>
          <w:p w:rsidR="008268EB" w:rsidRPr="008268EB" w:rsidRDefault="008268EB" w:rsidP="008268EB">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268EB">
              <w:rPr>
                <w:rFonts w:ascii="Segoe UI" w:hAnsi="Segoe UI" w:cs="Segoe UI"/>
              </w:rPr>
              <w:t>0</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hideMark/>
          </w:tcPr>
          <w:p w:rsidR="008268EB" w:rsidRPr="008268EB" w:rsidRDefault="008268EB" w:rsidP="008268EB">
            <w:pPr>
              <w:rPr>
                <w:rFonts w:ascii="Segoe UI" w:hAnsi="Segoe UI" w:cs="Segoe UI"/>
              </w:rPr>
            </w:pPr>
            <w:r w:rsidRPr="008268EB">
              <w:rPr>
                <w:rFonts w:ascii="Segoe UI" w:hAnsi="Segoe UI" w:cs="Segoe UI"/>
              </w:rPr>
              <w:t xml:space="preserve">Total </w:t>
            </w:r>
          </w:p>
        </w:tc>
        <w:tc>
          <w:tcPr>
            <w:tcW w:w="0"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8</w:t>
            </w:r>
          </w:p>
        </w:tc>
        <w:tc>
          <w:tcPr>
            <w:tcW w:w="0"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18</w:t>
            </w:r>
          </w:p>
        </w:tc>
        <w:tc>
          <w:tcPr>
            <w:tcW w:w="0"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30</w:t>
            </w:r>
          </w:p>
        </w:tc>
        <w:tc>
          <w:tcPr>
            <w:tcW w:w="947" w:type="pct"/>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56</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Note: Marine mammals, fish, sharks and migratory birds that are restricted to coastal and marine environments are excluded from the list.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West</w:t>
      </w:r>
    </w:p>
    <w:p w:rsidR="008268EB" w:rsidRPr="008268EB" w:rsidRDefault="008268EB" w:rsidP="008268EB">
      <w:pPr>
        <w:jc w:val="both"/>
        <w:rPr>
          <w:rFonts w:ascii="Segoe UI" w:hAnsi="Segoe UI" w:cs="Segoe UI"/>
        </w:rPr>
      </w:pPr>
      <w:r w:rsidRPr="008268EB">
        <w:rPr>
          <w:rFonts w:ascii="Segoe UI" w:hAnsi="Segoe UI" w:cs="Segoe UI"/>
        </w:rPr>
        <w:t xml:space="preserve">The West CRA assessed more than 101 plants of conservation significance (28 listed under the ESP Act), including factors that may predispose them to decline or extinction, potential threats and management actions in place to mitigate those threats. The CRA also provided information about 42 species of mammals, reptiles, birds and frogs species (five of these were listed under the ESP). Of the 21 native freshwater fish species recorded from the West RFA region in the CRA, six were listed under the FFG Act, and four of these were also listed under the ESP Act. </w:t>
      </w:r>
    </w:p>
    <w:p w:rsidR="008268EB" w:rsidRPr="008268EB" w:rsidRDefault="008268EB" w:rsidP="008268EB">
      <w:pPr>
        <w:jc w:val="both"/>
        <w:rPr>
          <w:rFonts w:ascii="Segoe UI" w:hAnsi="Segoe UI" w:cs="Segoe UI"/>
        </w:rPr>
      </w:pPr>
      <w:r w:rsidRPr="008268EB">
        <w:rPr>
          <w:rFonts w:ascii="Segoe UI" w:hAnsi="Segoe UI" w:cs="Segoe UI"/>
        </w:rPr>
        <w:t xml:space="preserve">Species assessed in the CRA include the Hairy-pod Wattle, Brush-tailed Phascogale, Bush-stone Curlew and Spot-tailed Quoll. </w:t>
      </w:r>
    </w:p>
    <w:p w:rsidR="008268EB" w:rsidRPr="008268EB" w:rsidRDefault="008268EB" w:rsidP="008268EB">
      <w:pPr>
        <w:jc w:val="both"/>
        <w:rPr>
          <w:rFonts w:ascii="Segoe UI" w:hAnsi="Segoe UI" w:cs="Segoe UI"/>
        </w:rPr>
      </w:pPr>
      <w:r w:rsidRPr="008268EB">
        <w:rPr>
          <w:rFonts w:ascii="Segoe UI" w:hAnsi="Segoe UI" w:cs="Segoe UI"/>
        </w:rPr>
        <w:t>As of July 2019, there were 115 EPBC Act listed fauna and flora species known or likely to occur within the West RFA region (</w:t>
      </w:r>
      <w:r w:rsidRPr="008268EB">
        <w:rPr>
          <w:rFonts w:ascii="Segoe UI" w:hAnsi="Segoe UI" w:cs="Segoe UI"/>
        </w:rPr>
        <w:fldChar w:fldCharType="begin"/>
      </w:r>
      <w:r w:rsidRPr="008268EB">
        <w:rPr>
          <w:rFonts w:ascii="Segoe UI" w:hAnsi="Segoe UI" w:cs="Segoe UI"/>
        </w:rPr>
        <w:instrText xml:space="preserve"> REF _Ref14773015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Table 16</w:t>
      </w:r>
      <w:r w:rsidRPr="008268EB">
        <w:rPr>
          <w:rFonts w:ascii="Segoe UI" w:hAnsi="Segoe UI" w:cs="Segoe UI"/>
        </w:rPr>
        <w:fldChar w:fldCharType="end"/>
      </w:r>
      <w:r w:rsidRPr="008268EB">
        <w:rPr>
          <w:rFonts w:ascii="Segoe UI" w:hAnsi="Segoe UI" w:cs="Segoe UI"/>
        </w:rPr>
        <w:t>). Since the commencement of the EPBC Act, 36 additional species known or likely to occur in the West RFA region have been listed as threatened under this legislation.</w:t>
      </w:r>
    </w:p>
    <w:p w:rsidR="008268EB" w:rsidRPr="008268EB" w:rsidRDefault="008268EB" w:rsidP="008268EB">
      <w:pPr>
        <w:keepNext/>
        <w:spacing w:after="200" w:line="240" w:lineRule="auto"/>
        <w:rPr>
          <w:rFonts w:ascii="Segoe UI Semibold" w:eastAsia="Times New Roman" w:hAnsi="Segoe UI Semibold" w:cs="Times New Roman"/>
          <w:color w:val="016295"/>
        </w:rPr>
      </w:pPr>
      <w:bookmarkStart w:id="85" w:name="_Ref14773015"/>
      <w:bookmarkStart w:id="86" w:name="_Toc25660800"/>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16</w:t>
      </w:r>
      <w:r w:rsidRPr="008268EB">
        <w:rPr>
          <w:rFonts w:ascii="Segoe UI Semibold" w:eastAsia="Times New Roman" w:hAnsi="Segoe UI Semibold" w:cs="Times New Roman"/>
          <w:noProof/>
          <w:color w:val="016295"/>
        </w:rPr>
        <w:fldChar w:fldCharType="end"/>
      </w:r>
      <w:bookmarkEnd w:id="85"/>
      <w:r w:rsidRPr="008268EB">
        <w:rPr>
          <w:rFonts w:ascii="Segoe UI Semibold" w:eastAsia="Times New Roman" w:hAnsi="Segoe UI Semibold" w:cs="Times New Roman"/>
          <w:color w:val="016295"/>
        </w:rPr>
        <w:t>: Number of EPBC Act listed species known or likely to occur in the West RFA region as of July 2019</w:t>
      </w:r>
      <w:bookmarkEnd w:id="86"/>
    </w:p>
    <w:tbl>
      <w:tblPr>
        <w:tblStyle w:val="xTable1"/>
        <w:tblW w:w="4280" w:type="pct"/>
        <w:tblBorders>
          <w:bottom w:val="none" w:sz="0" w:space="0" w:color="auto"/>
          <w:insideH w:val="none" w:sz="0" w:space="0" w:color="auto"/>
        </w:tblBorders>
        <w:tblLayout w:type="fixed"/>
        <w:tblLook w:val="04E0" w:firstRow="1" w:lastRow="1" w:firstColumn="1" w:lastColumn="0" w:noHBand="0" w:noVBand="1"/>
      </w:tblPr>
      <w:tblGrid>
        <w:gridCol w:w="1819"/>
        <w:gridCol w:w="1477"/>
        <w:gridCol w:w="1477"/>
        <w:gridCol w:w="1477"/>
        <w:gridCol w:w="1476"/>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177" w:type="pct"/>
            <w:hideMark/>
          </w:tcPr>
          <w:p w:rsidR="008268EB" w:rsidRPr="008268EB" w:rsidRDefault="008268EB" w:rsidP="008268EB">
            <w:pPr>
              <w:rPr>
                <w:rFonts w:ascii="Segoe UI" w:hAnsi="Segoe UI" w:cs="Segoe UI"/>
              </w:rPr>
            </w:pPr>
            <w:r w:rsidRPr="008268EB">
              <w:rPr>
                <w:rFonts w:ascii="Segoe UI" w:hAnsi="Segoe UI" w:cs="Segoe UI"/>
              </w:rPr>
              <w:t xml:space="preserve">Type </w:t>
            </w:r>
          </w:p>
        </w:tc>
        <w:tc>
          <w:tcPr>
            <w:tcW w:w="956"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Critically endangered</w:t>
            </w:r>
          </w:p>
        </w:tc>
        <w:tc>
          <w:tcPr>
            <w:tcW w:w="956"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Endangered</w:t>
            </w:r>
          </w:p>
        </w:tc>
        <w:tc>
          <w:tcPr>
            <w:tcW w:w="956"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Vulnerable</w:t>
            </w:r>
          </w:p>
        </w:tc>
        <w:tc>
          <w:tcPr>
            <w:tcW w:w="956" w:type="pct"/>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Bird</w:t>
            </w:r>
          </w:p>
        </w:tc>
        <w:tc>
          <w:tcPr>
            <w:tcW w:w="0" w:type="pct"/>
            <w:tcBorders>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0" w:type="pct"/>
            <w:tcBorders>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0" w:type="pct"/>
            <w:tcBorders>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0" w:type="pct"/>
            <w:tcBorders>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18</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Crustacean</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Flora</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26</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70</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Freshwater fish</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Frog</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Insect</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Mammal</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rPr>
                <w:rFonts w:ascii="Segoe UI" w:hAnsi="Segoe UI" w:cs="Segoe UI"/>
              </w:rPr>
            </w:pPr>
            <w:r w:rsidRPr="008268EB">
              <w:rPr>
                <w:rFonts w:ascii="Segoe UI" w:hAnsi="Segoe UI" w:cs="Segoe UI"/>
              </w:rPr>
              <w:t>Reptile</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0" w:type="pct"/>
            <w:tcBorders>
              <w:top w:val="single" w:sz="8" w:space="0" w:color="BFBFBF" w:themeColor="background1" w:themeShade="BF"/>
              <w:bottom w:val="single" w:sz="8" w:space="0" w:color="BFBFBF" w:themeColor="background1" w:themeShade="BF"/>
            </w:tcBorders>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Other</w:t>
            </w:r>
          </w:p>
        </w:tc>
        <w:tc>
          <w:tcPr>
            <w:tcW w:w="0"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0"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0" w:type="pct"/>
            <w:tcBorders>
              <w:top w:val="single" w:sz="8" w:space="0" w:color="BFBFBF" w:themeColor="background1" w:themeShade="BF"/>
              <w:bottom w:val="single" w:sz="8" w:space="0" w:color="auto"/>
            </w:tcBorders>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7" w:type="pct"/>
            <w:tcBorders>
              <w:top w:val="single" w:sz="8" w:space="0" w:color="auto"/>
              <w:bottom w:val="single" w:sz="8" w:space="0" w:color="auto"/>
            </w:tcBorders>
            <w:hideMark/>
          </w:tcPr>
          <w:p w:rsidR="008268EB" w:rsidRPr="008268EB" w:rsidRDefault="008268EB" w:rsidP="008268EB">
            <w:pPr>
              <w:rPr>
                <w:rFonts w:ascii="Segoe UI" w:hAnsi="Segoe UI" w:cs="Segoe UI"/>
              </w:rPr>
            </w:pPr>
            <w:r w:rsidRPr="008268EB">
              <w:rPr>
                <w:rFonts w:ascii="Segoe UI" w:hAnsi="Segoe UI" w:cs="Segoe UI"/>
              </w:rPr>
              <w:t xml:space="preserve">Total </w:t>
            </w:r>
          </w:p>
        </w:tc>
        <w:tc>
          <w:tcPr>
            <w:tcW w:w="0"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16</w:t>
            </w:r>
          </w:p>
        </w:tc>
        <w:tc>
          <w:tcPr>
            <w:tcW w:w="0"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40</w:t>
            </w:r>
          </w:p>
        </w:tc>
        <w:tc>
          <w:tcPr>
            <w:tcW w:w="0"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59</w:t>
            </w:r>
          </w:p>
        </w:tc>
        <w:tc>
          <w:tcPr>
            <w:tcW w:w="0" w:type="pct"/>
            <w:tcBorders>
              <w:top w:val="single" w:sz="8" w:space="0" w:color="auto"/>
              <w:bottom w:val="single" w:sz="8" w:space="0" w:color="auto"/>
            </w:tcBorders>
            <w:vAlign w:val="center"/>
            <w:hideMark/>
          </w:tcPr>
          <w:p w:rsidR="008268EB" w:rsidRPr="008268EB" w:rsidRDefault="008268EB" w:rsidP="008268EB">
            <w:pPr>
              <w:jc w:val="right"/>
              <w:cnfStyle w:val="010000000000" w:firstRow="0" w:lastRow="1"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115</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Note: Marine mammals, fish, sharks and migratory birds that are restricted to coastal and marine environments are excluded from the list.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Status of listed species recovery plans and conservation advice</w:t>
      </w:r>
    </w:p>
    <w:p w:rsidR="008268EB" w:rsidRPr="008268EB" w:rsidRDefault="008268EB" w:rsidP="008268EB">
      <w:pPr>
        <w:jc w:val="both"/>
        <w:rPr>
          <w:rFonts w:ascii="Segoe UI" w:hAnsi="Segoe UI" w:cs="Segoe UI"/>
        </w:rPr>
      </w:pPr>
      <w:r w:rsidRPr="008268EB">
        <w:rPr>
          <w:rFonts w:ascii="Segoe UI" w:hAnsi="Segoe UI" w:cs="Segoe UI"/>
        </w:rPr>
        <w:t xml:space="preserve">Almost all EPBC Act listed species known or likely to occur within Victorian RFA regions have a conservation advice and/or recovery plan to assist recovery. The 32 non-threatened EPBC Act listed migratory birds do not require a conservation advice or recovery plan. </w:t>
      </w:r>
    </w:p>
    <w:p w:rsidR="008268EB" w:rsidRPr="008268EB" w:rsidRDefault="008268EB" w:rsidP="008268EB">
      <w:pPr>
        <w:jc w:val="both"/>
        <w:rPr>
          <w:rFonts w:ascii="Segoe UI" w:hAnsi="Segoe UI" w:cs="Segoe UI"/>
        </w:rPr>
      </w:pPr>
      <w:r w:rsidRPr="008268EB">
        <w:rPr>
          <w:rFonts w:ascii="Segoe UI" w:hAnsi="Segoe UI" w:cs="Segoe UI"/>
        </w:rPr>
        <w:t xml:space="preserve">Victorian action statements are preferentially prepared for species listed as critically endangered. There are action statements prepared for 276 FFG Act listed species. The Australian and Victorian governments continue to work collaboratively in prioritising the development of new recovery plans. </w:t>
      </w:r>
    </w:p>
    <w:p w:rsidR="008268EB" w:rsidRPr="008268EB" w:rsidRDefault="008268EB" w:rsidP="008268EB">
      <w:pPr>
        <w:jc w:val="both"/>
        <w:rPr>
          <w:rFonts w:ascii="Segoe UI" w:hAnsi="Segoe UI" w:cs="Segoe UI"/>
        </w:rPr>
      </w:pPr>
      <w:bookmarkStart w:id="87" w:name="_Hlk17040655"/>
      <w:r w:rsidRPr="008268EB">
        <w:rPr>
          <w:rFonts w:ascii="Segoe UI" w:hAnsi="Segoe UI" w:cs="Segoe UI"/>
        </w:rPr>
        <w:t xml:space="preserve">Case studies on the management of three nationally listed species, the Blue-tongued Orchid, Long-footed Potoroo and Leadbeater’s Possum are outlined in the ‘Overview of Victoria’s forest management system 2020’. </w:t>
      </w:r>
      <w:bookmarkEnd w:id="87"/>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 xml:space="preserve">Threatened ecological communities </w:t>
      </w:r>
    </w:p>
    <w:p w:rsidR="008268EB" w:rsidRPr="008268EB" w:rsidRDefault="008268EB" w:rsidP="008268EB">
      <w:pPr>
        <w:jc w:val="both"/>
        <w:rPr>
          <w:rFonts w:ascii="Segoe UI" w:hAnsi="Segoe UI" w:cs="Segoe UI"/>
          <w:lang w:eastAsia="en-AU"/>
        </w:rPr>
      </w:pPr>
      <w:r w:rsidRPr="008268EB">
        <w:rPr>
          <w:rFonts w:ascii="Segoe UI" w:hAnsi="Segoe UI" w:cs="Segoe UI"/>
        </w:rPr>
        <w:t>As of July 2019, there were 14 ecological communities listed as threatened under the EPBC Act that were known or likely to occur in Victorian RFA region (</w:t>
      </w:r>
      <w:r w:rsidRPr="008268EB">
        <w:rPr>
          <w:rFonts w:ascii="Segoe UI" w:hAnsi="Segoe UI" w:cs="Segoe UI"/>
        </w:rPr>
        <w:fldChar w:fldCharType="begin"/>
      </w:r>
      <w:r w:rsidRPr="008268EB">
        <w:rPr>
          <w:rFonts w:ascii="Segoe UI" w:hAnsi="Segoe UI" w:cs="Segoe UI"/>
        </w:rPr>
        <w:instrText xml:space="preserve"> REF _Ref527450982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17</w:t>
      </w:r>
      <w:r w:rsidRPr="008268EB">
        <w:rPr>
          <w:rFonts w:ascii="Segoe UI" w:hAnsi="Segoe UI" w:cs="Segoe UI"/>
        </w:rPr>
        <w:fldChar w:fldCharType="end"/>
      </w:r>
      <w:r w:rsidRPr="008268EB">
        <w:rPr>
          <w:rFonts w:ascii="Segoe UI" w:hAnsi="Segoe UI" w:cs="Segoe UI"/>
        </w:rPr>
        <w:t xml:space="preserve">). One ecological community, Silurian Limestone </w:t>
      </w:r>
      <w:proofErr w:type="spellStart"/>
      <w:r w:rsidRPr="008268EB">
        <w:rPr>
          <w:rFonts w:ascii="Segoe UI" w:hAnsi="Segoe UI" w:cs="Segoe UI"/>
        </w:rPr>
        <w:t>Pomaderris</w:t>
      </w:r>
      <w:proofErr w:type="spellEnd"/>
      <w:r w:rsidRPr="008268EB">
        <w:rPr>
          <w:rFonts w:ascii="Segoe UI" w:hAnsi="Segoe UI" w:cs="Segoe UI"/>
        </w:rPr>
        <w:t xml:space="preserve"> Shrubland of the South East Corner and Australian Alps bioregions, was listed under the predecessor to the EPBC Act, the ESP Act. The other 13 ecological communities were listed between 2006 and 2018, after all five Victorian RFAs were signed. </w:t>
      </w:r>
      <w:r w:rsidRPr="008268EB">
        <w:rPr>
          <w:rFonts w:ascii="Segoe UI" w:hAnsi="Segoe UI" w:cs="Segoe UI"/>
          <w:lang w:eastAsia="en-AU"/>
        </w:rPr>
        <w:t xml:space="preserve">A list of ecological communities occurring in the Victorian RFA regions is provided at Appendix </w:t>
      </w:r>
      <w:r w:rsidRPr="008268EB">
        <w:rPr>
          <w:rFonts w:ascii="Segoe UI" w:hAnsi="Segoe UI" w:cs="Segoe UI"/>
          <w:lang w:eastAsia="en-AU"/>
        </w:rPr>
        <w:fldChar w:fldCharType="begin"/>
      </w:r>
      <w:r w:rsidRPr="008268EB">
        <w:rPr>
          <w:rFonts w:ascii="Segoe UI" w:hAnsi="Segoe UI" w:cs="Segoe UI"/>
          <w:lang w:eastAsia="en-AU"/>
        </w:rPr>
        <w:instrText xml:space="preserve"> REF _Ref26445483 \r \h </w:instrText>
      </w:r>
      <w:r w:rsidRPr="008268EB">
        <w:rPr>
          <w:rFonts w:ascii="Segoe UI" w:hAnsi="Segoe UI" w:cs="Segoe UI"/>
          <w:lang w:eastAsia="en-AU"/>
        </w:rPr>
      </w:r>
      <w:r w:rsidRPr="008268EB">
        <w:rPr>
          <w:rFonts w:ascii="Segoe UI" w:hAnsi="Segoe UI" w:cs="Segoe UI"/>
          <w:lang w:eastAsia="en-AU"/>
        </w:rPr>
        <w:fldChar w:fldCharType="separate"/>
      </w:r>
      <w:r w:rsidRPr="008268EB">
        <w:rPr>
          <w:rFonts w:ascii="Segoe UI" w:hAnsi="Segoe UI" w:cs="Segoe UI"/>
          <w:lang w:eastAsia="en-AU"/>
        </w:rPr>
        <w:t>3</w:t>
      </w:r>
      <w:r w:rsidRPr="008268EB">
        <w:rPr>
          <w:rFonts w:ascii="Segoe UI" w:hAnsi="Segoe UI" w:cs="Segoe UI"/>
          <w:lang w:eastAsia="en-AU"/>
        </w:rPr>
        <w:fldChar w:fldCharType="end"/>
      </w:r>
      <w:r w:rsidRPr="008268EB">
        <w:rPr>
          <w:rFonts w:ascii="Segoe UI" w:hAnsi="Segoe UI" w:cs="Segoe UI"/>
          <w:lang w:eastAsia="en-AU"/>
        </w:rPr>
        <w:t>.</w:t>
      </w:r>
    </w:p>
    <w:p w:rsidR="008268EB" w:rsidRPr="008268EB" w:rsidRDefault="008268EB" w:rsidP="008268EB">
      <w:pPr>
        <w:spacing w:after="200" w:line="240" w:lineRule="auto"/>
        <w:rPr>
          <w:rFonts w:ascii="Segoe UI Semibold" w:eastAsia="Times New Roman" w:hAnsi="Segoe UI Semibold" w:cs="Times New Roman"/>
          <w:color w:val="016295"/>
        </w:rPr>
      </w:pPr>
      <w:bookmarkStart w:id="88" w:name="_Ref527450982"/>
      <w:bookmarkStart w:id="89" w:name="_Toc531002165"/>
      <w:bookmarkStart w:id="90" w:name="_Toc25660801"/>
      <w:r w:rsidRPr="008268EB">
        <w:rPr>
          <w:rFonts w:ascii="Segoe UI Semibold" w:eastAsia="Times New Roman" w:hAnsi="Segoe UI Semibold" w:cs="Times New Roman"/>
          <w:color w:val="016295"/>
        </w:rPr>
        <w:t xml:space="preserve">Table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17</w:t>
      </w:r>
      <w:r w:rsidRPr="008268EB">
        <w:rPr>
          <w:rFonts w:ascii="Segoe UI Semibold" w:eastAsia="Times New Roman" w:hAnsi="Segoe UI Semibold" w:cs="Times New Roman"/>
          <w:noProof/>
          <w:color w:val="016295"/>
        </w:rPr>
        <w:fldChar w:fldCharType="end"/>
      </w:r>
      <w:bookmarkEnd w:id="88"/>
      <w:r w:rsidRPr="008268EB">
        <w:rPr>
          <w:rFonts w:ascii="Segoe UI Semibold" w:eastAsia="Times New Roman" w:hAnsi="Segoe UI Semibold" w:cs="Times New Roman"/>
          <w:color w:val="016295"/>
        </w:rPr>
        <w:t>: Number of listed ecological communities under the EPBC Act known or likely to occur in the Victorian RFA regions</w:t>
      </w:r>
      <w:bookmarkEnd w:id="89"/>
      <w:bookmarkEnd w:id="90"/>
    </w:p>
    <w:tbl>
      <w:tblPr>
        <w:tblStyle w:val="xTable1"/>
        <w:tblW w:w="4302" w:type="pct"/>
        <w:tblLayout w:type="fixed"/>
        <w:tblLook w:val="04E0" w:firstRow="1" w:lastRow="1" w:firstColumn="1" w:lastColumn="0" w:noHBand="0" w:noVBand="1"/>
      </w:tblPr>
      <w:tblGrid>
        <w:gridCol w:w="2157"/>
        <w:gridCol w:w="1398"/>
        <w:gridCol w:w="1399"/>
        <w:gridCol w:w="1399"/>
        <w:gridCol w:w="1396"/>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100" w:firstRow="0" w:lastRow="0" w:firstColumn="1" w:lastColumn="0" w:oddVBand="0" w:evenVBand="0" w:oddHBand="0" w:evenHBand="0" w:firstRowFirstColumn="1" w:firstRowLastColumn="0" w:lastRowFirstColumn="0" w:lastRowLastColumn="0"/>
            <w:tcW w:w="0" w:type="pct"/>
            <w:tcBorders>
              <w:top w:val="single" w:sz="8" w:space="0" w:color="FFFFFF"/>
              <w:left w:val="single" w:sz="8" w:space="0" w:color="FFFFFF"/>
              <w:bottom w:val="single" w:sz="8" w:space="0" w:color="FFFFFF"/>
              <w:right w:val="single" w:sz="8" w:space="0" w:color="FFFFFF"/>
            </w:tcBorders>
            <w:hideMark/>
          </w:tcPr>
          <w:p w:rsidR="008268EB" w:rsidRPr="008268EB" w:rsidRDefault="008268EB" w:rsidP="008268EB">
            <w:pPr>
              <w:rPr>
                <w:rFonts w:ascii="Segoe UI" w:hAnsi="Segoe UI" w:cs="Segoe UI"/>
              </w:rPr>
            </w:pPr>
            <w:r w:rsidRPr="008268EB">
              <w:rPr>
                <w:rFonts w:ascii="Segoe UI" w:hAnsi="Segoe UI" w:cs="Segoe UI"/>
              </w:rPr>
              <w:t xml:space="preserve">RFA region </w:t>
            </w:r>
          </w:p>
        </w:tc>
        <w:tc>
          <w:tcPr>
            <w:tcW w:w="0" w:type="pct"/>
            <w:tcBorders>
              <w:top w:val="single" w:sz="8" w:space="0" w:color="FFFFFF"/>
              <w:left w:val="single" w:sz="8" w:space="0" w:color="FFFFFF"/>
              <w:bottom w:val="single" w:sz="8" w:space="0" w:color="FFFFFF"/>
              <w:right w:val="single" w:sz="8" w:space="0" w:color="FFFFFF"/>
            </w:tcBorders>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Critically endangered</w:t>
            </w:r>
          </w:p>
        </w:tc>
        <w:tc>
          <w:tcPr>
            <w:tcW w:w="0" w:type="pct"/>
            <w:tcBorders>
              <w:top w:val="single" w:sz="8" w:space="0" w:color="FFFFFF"/>
              <w:left w:val="single" w:sz="8" w:space="0" w:color="FFFFFF"/>
              <w:bottom w:val="single" w:sz="8" w:space="0" w:color="FFFFFF"/>
              <w:right w:val="single" w:sz="8" w:space="0" w:color="FFFFFF"/>
            </w:tcBorders>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Endangered</w:t>
            </w:r>
          </w:p>
        </w:tc>
        <w:tc>
          <w:tcPr>
            <w:tcW w:w="0" w:type="pct"/>
            <w:tcBorders>
              <w:top w:val="single" w:sz="8" w:space="0" w:color="FFFFFF"/>
              <w:left w:val="single" w:sz="8" w:space="0" w:color="FFFFFF"/>
              <w:bottom w:val="single" w:sz="8" w:space="0" w:color="FFFFFF"/>
              <w:right w:val="single" w:sz="8" w:space="0" w:color="FFFFFF"/>
            </w:tcBorders>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Vulnerable</w:t>
            </w:r>
          </w:p>
        </w:tc>
        <w:tc>
          <w:tcPr>
            <w:tcW w:w="0" w:type="pct"/>
            <w:tcBorders>
              <w:top w:val="single" w:sz="8" w:space="0" w:color="FFFFFF"/>
              <w:left w:val="single" w:sz="8" w:space="0" w:color="FFFFFF"/>
              <w:bottom w:val="single" w:sz="8" w:space="0" w:color="FFFFFF"/>
              <w:right w:val="single" w:sz="8" w:space="0" w:color="FFFFFF"/>
            </w:tcBorders>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Total</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pct"/>
            <w:hideMark/>
          </w:tcPr>
          <w:p w:rsidR="008268EB" w:rsidRPr="008268EB" w:rsidRDefault="008268EB" w:rsidP="008268EB">
            <w:pPr>
              <w:rPr>
                <w:rFonts w:ascii="Segoe UI" w:hAnsi="Segoe UI" w:cs="Segoe UI"/>
              </w:rPr>
            </w:pPr>
            <w:r w:rsidRPr="008268EB">
              <w:rPr>
                <w:rFonts w:ascii="Segoe UI" w:hAnsi="Segoe UI" w:cs="Segoe UI"/>
              </w:rPr>
              <w:t>Central Highlands</w:t>
            </w:r>
          </w:p>
        </w:tc>
        <w:tc>
          <w:tcPr>
            <w:tcW w:w="902"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903"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03"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02"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pct"/>
            <w:hideMark/>
          </w:tcPr>
          <w:p w:rsidR="008268EB" w:rsidRPr="008268EB" w:rsidRDefault="008268EB" w:rsidP="008268EB">
            <w:pPr>
              <w:rPr>
                <w:rFonts w:ascii="Segoe UI" w:hAnsi="Segoe UI" w:cs="Segoe UI"/>
              </w:rPr>
            </w:pPr>
            <w:r w:rsidRPr="008268EB">
              <w:rPr>
                <w:rFonts w:ascii="Segoe UI" w:hAnsi="Segoe UI" w:cs="Segoe UI"/>
              </w:rPr>
              <w:t xml:space="preserve">East Gippsland </w:t>
            </w:r>
          </w:p>
        </w:tc>
        <w:tc>
          <w:tcPr>
            <w:tcW w:w="902"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903"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03"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02"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pct"/>
            <w:hideMark/>
          </w:tcPr>
          <w:p w:rsidR="008268EB" w:rsidRPr="008268EB" w:rsidRDefault="008268EB" w:rsidP="008268EB">
            <w:pPr>
              <w:rPr>
                <w:rFonts w:ascii="Segoe UI" w:hAnsi="Segoe UI" w:cs="Segoe UI"/>
              </w:rPr>
            </w:pPr>
            <w:r w:rsidRPr="008268EB">
              <w:rPr>
                <w:rFonts w:ascii="Segoe UI" w:hAnsi="Segoe UI" w:cs="Segoe UI"/>
              </w:rPr>
              <w:t xml:space="preserve">Gippsland </w:t>
            </w:r>
          </w:p>
        </w:tc>
        <w:tc>
          <w:tcPr>
            <w:tcW w:w="902"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903"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903"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02"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pct"/>
            <w:hideMark/>
          </w:tcPr>
          <w:p w:rsidR="008268EB" w:rsidRPr="008268EB" w:rsidRDefault="008268EB" w:rsidP="008268EB">
            <w:pPr>
              <w:rPr>
                <w:rFonts w:ascii="Segoe UI" w:hAnsi="Segoe UI" w:cs="Segoe UI"/>
              </w:rPr>
            </w:pPr>
            <w:r w:rsidRPr="008268EB">
              <w:rPr>
                <w:rFonts w:ascii="Segoe UI" w:hAnsi="Segoe UI" w:cs="Segoe UI"/>
              </w:rPr>
              <w:t>North East</w:t>
            </w:r>
          </w:p>
        </w:tc>
        <w:tc>
          <w:tcPr>
            <w:tcW w:w="902"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903"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903"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w:t>
            </w:r>
          </w:p>
        </w:tc>
        <w:tc>
          <w:tcPr>
            <w:tcW w:w="902" w:type="pct"/>
            <w:hideMark/>
          </w:tcPr>
          <w:p w:rsidR="008268EB" w:rsidRPr="008268EB" w:rsidRDefault="008268EB" w:rsidP="008268E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pct"/>
            <w:hideMark/>
          </w:tcPr>
          <w:p w:rsidR="008268EB" w:rsidRPr="008268EB" w:rsidRDefault="008268EB" w:rsidP="008268EB">
            <w:pPr>
              <w:rPr>
                <w:rFonts w:ascii="Segoe UI" w:hAnsi="Segoe UI" w:cs="Segoe UI"/>
              </w:rPr>
            </w:pPr>
            <w:r w:rsidRPr="008268EB">
              <w:rPr>
                <w:rFonts w:ascii="Segoe UI" w:hAnsi="Segoe UI" w:cs="Segoe UI"/>
              </w:rPr>
              <w:t xml:space="preserve">West </w:t>
            </w:r>
          </w:p>
        </w:tc>
        <w:tc>
          <w:tcPr>
            <w:tcW w:w="902"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903"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903"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02" w:type="pct"/>
            <w:hideMark/>
          </w:tcPr>
          <w:p w:rsidR="008268EB" w:rsidRPr="008268EB" w:rsidRDefault="008268EB" w:rsidP="008268E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r>
      <w:tr w:rsidR="008268EB" w:rsidRPr="008268EB" w:rsidTr="007F17A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pct"/>
            <w:hideMark/>
          </w:tcPr>
          <w:p w:rsidR="008268EB" w:rsidRPr="008268EB" w:rsidRDefault="008268EB" w:rsidP="008268EB">
            <w:pPr>
              <w:rPr>
                <w:rFonts w:ascii="Segoe UI" w:hAnsi="Segoe UI" w:cs="Segoe UI"/>
              </w:rPr>
            </w:pPr>
            <w:r w:rsidRPr="008268EB">
              <w:rPr>
                <w:rFonts w:ascii="Segoe UI" w:hAnsi="Segoe UI" w:cs="Segoe UI"/>
              </w:rPr>
              <w:t>Total all RFA regions</w:t>
            </w:r>
          </w:p>
        </w:tc>
        <w:tc>
          <w:tcPr>
            <w:tcW w:w="902" w:type="pct"/>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c>
          <w:tcPr>
            <w:tcW w:w="903" w:type="pct"/>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903" w:type="pct"/>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902" w:type="pct"/>
            <w:hideMark/>
          </w:tcPr>
          <w:p w:rsidR="008268EB" w:rsidRPr="008268EB" w:rsidRDefault="008268EB" w:rsidP="008268EB">
            <w:pPr>
              <w:spacing w:after="0" w:line="240" w:lineRule="auto"/>
              <w:jc w:val="right"/>
              <w:cnfStyle w:val="010000000000" w:firstRow="0" w:lastRow="1"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14</w:t>
            </w:r>
          </w:p>
        </w:tc>
      </w:tr>
    </w:tbl>
    <w:p w:rsidR="008268EB" w:rsidRPr="008268EB" w:rsidRDefault="008268EB" w:rsidP="008268EB">
      <w:pPr>
        <w:spacing w:before="80"/>
        <w:rPr>
          <w:rFonts w:ascii="Segoe UI" w:eastAsia="STZhongsong" w:hAnsi="Segoe UI" w:cs="Segoe UI"/>
          <w:bCs/>
          <w:sz w:val="18"/>
          <w:szCs w:val="18"/>
          <w:lang w:eastAsia="ko-KR"/>
        </w:rPr>
      </w:pPr>
      <w:bookmarkStart w:id="91" w:name="_Toc381089210"/>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 xml:space="preserve">Status of listed communities recovery plans and conservation advice </w:t>
      </w:r>
    </w:p>
    <w:p w:rsidR="008268EB" w:rsidRPr="008268EB" w:rsidRDefault="008268EB" w:rsidP="008268EB">
      <w:pPr>
        <w:jc w:val="both"/>
        <w:rPr>
          <w:rFonts w:ascii="Segoe UI" w:hAnsi="Segoe UI" w:cs="Segoe UI"/>
        </w:rPr>
      </w:pPr>
      <w:r w:rsidRPr="008268EB">
        <w:rPr>
          <w:rFonts w:ascii="Segoe UI" w:hAnsi="Segoe UI" w:cs="Segoe UI"/>
        </w:rPr>
        <w:t xml:space="preserve">Of the 14 EPBC Act listed threatened ecological communities within Victorian RFA regions, all have either a conservation advice, recovery plan or both in place to guide their recovery. </w:t>
      </w:r>
      <w:bookmarkEnd w:id="91"/>
      <w:r w:rsidRPr="008268EB">
        <w:rPr>
          <w:rFonts w:ascii="Segoe UI" w:hAnsi="Segoe UI" w:cs="Segoe UI"/>
        </w:rPr>
        <w:t xml:space="preserve">A case study on the management of the EPBC Act listed community ‘Alpine Bogs and associated Fens’ is outlined in the </w:t>
      </w:r>
      <w:r w:rsidRPr="008268EB">
        <w:rPr>
          <w:rFonts w:ascii="Segoe UI" w:hAnsi="Segoe UI" w:cs="Segoe UI"/>
          <w:i/>
        </w:rPr>
        <w:t>Overview of Victoria’s Forest Management System 2020</w:t>
      </w:r>
      <w:r w:rsidRPr="008268EB">
        <w:rPr>
          <w:rFonts w:ascii="Segoe UI" w:hAnsi="Segoe UI" w:cs="Segoe UI"/>
        </w:rPr>
        <w:t>.</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 xml:space="preserve">Key threatening processes </w:t>
      </w:r>
    </w:p>
    <w:p w:rsidR="008268EB" w:rsidRPr="008268EB" w:rsidRDefault="008268EB" w:rsidP="008268EB">
      <w:pPr>
        <w:jc w:val="both"/>
        <w:rPr>
          <w:rFonts w:ascii="Segoe UI" w:hAnsi="Segoe UI" w:cs="Segoe UI"/>
        </w:rPr>
      </w:pPr>
      <w:r w:rsidRPr="008268EB">
        <w:rPr>
          <w:rFonts w:ascii="Segoe UI" w:hAnsi="Segoe UI" w:cs="Segoe UI"/>
        </w:rPr>
        <w:t xml:space="preserve">There are 14 threatening processes listed under the EPBC Act potentially affecting threatened species in Victorian RFA regions (see </w:t>
      </w:r>
      <w:r w:rsidRPr="008268EB">
        <w:rPr>
          <w:rFonts w:ascii="Segoe UI" w:hAnsi="Segoe UI" w:cs="Segoe UI"/>
        </w:rPr>
        <w:fldChar w:fldCharType="begin"/>
      </w:r>
      <w:r w:rsidRPr="008268EB">
        <w:rPr>
          <w:rFonts w:ascii="Segoe UI" w:hAnsi="Segoe UI" w:cs="Segoe UI"/>
        </w:rPr>
        <w:instrText xml:space="preserve"> REF _Ref19197488 \h  \* MERGEFORMAT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Table 18</w:t>
      </w:r>
      <w:r w:rsidRPr="008268EB">
        <w:rPr>
          <w:rFonts w:ascii="Segoe UI" w:hAnsi="Segoe UI" w:cs="Segoe UI"/>
        </w:rPr>
        <w:fldChar w:fldCharType="end"/>
      </w:r>
      <w:r w:rsidRPr="008268EB">
        <w:rPr>
          <w:rFonts w:ascii="Segoe UI" w:hAnsi="Segoe UI" w:cs="Segoe UI"/>
        </w:rPr>
        <w:t>). The Australian Government has developed threat abatement plans for most of the key threatening processes registered under the EPBC Act where a threat abatement plan was considered a feasible, effective or efficient way to abate the process.</w:t>
      </w: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92" w:name="_Ref527451120"/>
      <w:bookmarkStart w:id="93" w:name="_Ref19197488"/>
      <w:bookmarkStart w:id="94" w:name="_Toc531002166"/>
      <w:bookmarkStart w:id="95" w:name="_Toc25660802"/>
      <w:r w:rsidRPr="008268EB">
        <w:rPr>
          <w:rFonts w:ascii="Segoe UI Semibold" w:eastAsia="Times New Roman" w:hAnsi="Segoe UI Semibold" w:cs="Times New Roman"/>
          <w:color w:val="016295"/>
        </w:rPr>
        <w:t xml:space="preserve">Table </w:t>
      </w:r>
      <w:bookmarkEnd w:id="92"/>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18</w:t>
      </w:r>
      <w:r w:rsidRPr="008268EB">
        <w:rPr>
          <w:rFonts w:ascii="Segoe UI Semibold" w:eastAsia="Times New Roman" w:hAnsi="Segoe UI Semibold" w:cs="Times New Roman"/>
          <w:color w:val="016295"/>
        </w:rPr>
        <w:fldChar w:fldCharType="end"/>
      </w:r>
      <w:bookmarkEnd w:id="93"/>
      <w:r w:rsidRPr="008268EB">
        <w:rPr>
          <w:rFonts w:ascii="Segoe UI Semibold" w:eastAsia="Times New Roman" w:hAnsi="Segoe UI Semibold" w:cs="Times New Roman"/>
          <w:color w:val="016295"/>
        </w:rPr>
        <w:t>: EPBC Act listed key threatening processes potentially affecting threatened species in Victorian RFA region</w:t>
      </w:r>
      <w:bookmarkEnd w:id="94"/>
      <w:r w:rsidRPr="008268EB">
        <w:rPr>
          <w:rFonts w:ascii="Segoe UI Semibold" w:eastAsia="Times New Roman" w:hAnsi="Segoe UI Semibold" w:cs="Times New Roman"/>
          <w:color w:val="016295"/>
        </w:rPr>
        <w:t>s</w:t>
      </w:r>
      <w:bookmarkEnd w:id="95"/>
    </w:p>
    <w:tbl>
      <w:tblPr>
        <w:tblW w:w="8900" w:type="dxa"/>
        <w:tblBorders>
          <w:top w:val="single" w:sz="8" w:space="0" w:color="auto"/>
          <w:bottom w:val="single" w:sz="8" w:space="0" w:color="auto"/>
          <w:insideH w:val="single" w:sz="8" w:space="0" w:color="auto"/>
        </w:tblBorders>
        <w:tblLayout w:type="fixed"/>
        <w:tblCellMar>
          <w:top w:w="57" w:type="dxa"/>
          <w:bottom w:w="57" w:type="dxa"/>
        </w:tblCellMar>
        <w:tblLook w:val="04A0" w:firstRow="1" w:lastRow="0" w:firstColumn="1" w:lastColumn="0" w:noHBand="0" w:noVBand="1"/>
      </w:tblPr>
      <w:tblGrid>
        <w:gridCol w:w="3798"/>
        <w:gridCol w:w="1587"/>
        <w:gridCol w:w="3515"/>
      </w:tblGrid>
      <w:tr w:rsidR="008268EB" w:rsidRPr="008268EB" w:rsidTr="007F17A0">
        <w:trPr>
          <w:trHeight w:val="340"/>
          <w:tblHeader/>
        </w:trPr>
        <w:tc>
          <w:tcPr>
            <w:tcW w:w="3798" w:type="dxa"/>
            <w:shd w:val="clear" w:color="auto" w:fill="E2EFD9" w:themeFill="accent6" w:themeFillTint="33"/>
            <w:noWrap/>
            <w:vAlign w:val="bottom"/>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EPBC Act listed key threatening process</w:t>
            </w:r>
          </w:p>
        </w:tc>
        <w:tc>
          <w:tcPr>
            <w:tcW w:w="1587" w:type="dxa"/>
            <w:shd w:val="clear" w:color="auto" w:fill="E2EFD9" w:themeFill="accent6" w:themeFillTint="33"/>
            <w:noWrap/>
            <w:vAlign w:val="bottom"/>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Effective listing date</w:t>
            </w:r>
          </w:p>
        </w:tc>
        <w:tc>
          <w:tcPr>
            <w:tcW w:w="3515" w:type="dxa"/>
            <w:shd w:val="clear" w:color="auto" w:fill="E2EFD9" w:themeFill="accent6" w:themeFillTint="33"/>
            <w:noWrap/>
            <w:vAlign w:val="bottom"/>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Threat abatement plan date of approval</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Aggressive exclusion of birds from potential woodland and forest habitat by over-abundant noisy miners (</w:t>
            </w:r>
            <w:proofErr w:type="spellStart"/>
            <w:r w:rsidRPr="008268EB">
              <w:rPr>
                <w:rFonts w:ascii="Segoe UI" w:eastAsia="Calibri" w:hAnsi="Segoe UI" w:cs="Calibri"/>
                <w:i/>
                <w:sz w:val="19"/>
                <w:szCs w:val="19"/>
                <w:lang w:eastAsia="en-AU"/>
              </w:rPr>
              <w:t>Manorina</w:t>
            </w:r>
            <w:proofErr w:type="spellEnd"/>
            <w:r w:rsidRPr="008268EB">
              <w:rPr>
                <w:rFonts w:ascii="Segoe UI" w:eastAsia="Calibri" w:hAnsi="Segoe UI" w:cs="Calibri"/>
                <w:i/>
                <w:sz w:val="19"/>
                <w:szCs w:val="19"/>
                <w:lang w:eastAsia="en-AU"/>
              </w:rPr>
              <w:t xml:space="preserve"> </w:t>
            </w:r>
            <w:proofErr w:type="spellStart"/>
            <w:r w:rsidRPr="008268EB">
              <w:rPr>
                <w:rFonts w:ascii="Segoe UI" w:eastAsia="Calibri" w:hAnsi="Segoe UI" w:cs="Calibri"/>
                <w:i/>
                <w:sz w:val="19"/>
                <w:szCs w:val="19"/>
                <w:lang w:eastAsia="en-AU"/>
              </w:rPr>
              <w:t>melanocephala</w:t>
            </w:r>
            <w:proofErr w:type="spellEnd"/>
            <w:r w:rsidRPr="008268EB">
              <w:rPr>
                <w:rFonts w:ascii="Segoe UI" w:eastAsia="Calibri" w:hAnsi="Segoe UI" w:cs="Calibri"/>
                <w:sz w:val="19"/>
                <w:szCs w:val="19"/>
                <w:lang w:eastAsia="en-AU"/>
              </w:rPr>
              <w:t>)</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9 May 2014</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Not applicable – threat abatement plan not considered a feasible, effective or efficient way to abate the process.</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Competition and land degradation by rabbits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16 July 2000</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2016</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color w:val="000000"/>
                <w:sz w:val="19"/>
                <w:szCs w:val="19"/>
                <w:lang w:eastAsia="en-AU"/>
              </w:rPr>
            </w:pPr>
            <w:r w:rsidRPr="008268EB">
              <w:rPr>
                <w:rFonts w:ascii="Segoe UI" w:eastAsia="Calibri" w:hAnsi="Segoe UI" w:cs="Calibri"/>
                <w:sz w:val="19"/>
                <w:szCs w:val="19"/>
                <w:lang w:eastAsia="en-AU"/>
              </w:rPr>
              <w:t>Competition and land degradation by unmanaged goats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16 July 2000</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2008</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Dieback caused by the root-rot fungus (</w:t>
            </w:r>
            <w:r w:rsidRPr="008268EB">
              <w:rPr>
                <w:rFonts w:ascii="Segoe UI" w:eastAsia="Calibri" w:hAnsi="Segoe UI" w:cs="Calibri"/>
                <w:i/>
                <w:sz w:val="19"/>
                <w:szCs w:val="19"/>
                <w:lang w:eastAsia="en-AU"/>
              </w:rPr>
              <w:t xml:space="preserve">Phytophthora </w:t>
            </w:r>
            <w:proofErr w:type="spellStart"/>
            <w:r w:rsidRPr="008268EB">
              <w:rPr>
                <w:rFonts w:ascii="Segoe UI" w:eastAsia="Calibri" w:hAnsi="Segoe UI" w:cs="Calibri"/>
                <w:i/>
                <w:sz w:val="19"/>
                <w:szCs w:val="19"/>
                <w:lang w:eastAsia="en-AU"/>
              </w:rPr>
              <w:t>cinnamomi</w:t>
            </w:r>
            <w:proofErr w:type="spellEnd"/>
            <w:r w:rsidRPr="008268EB">
              <w:rPr>
                <w:rFonts w:ascii="Segoe UI" w:eastAsia="Calibri" w:hAnsi="Segoe UI" w:cs="Calibri"/>
                <w:sz w:val="19"/>
                <w:szCs w:val="19"/>
                <w:lang w:eastAsia="en-AU"/>
              </w:rPr>
              <w:t>)</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16 July 2000</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2014</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Infection of amphibians with chytrid fungus resulting in chytridiomycosis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23 July 2002</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2016</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Land clearance </w:t>
            </w:r>
            <w:r w:rsidRPr="008268EB">
              <w:rPr>
                <w:rFonts w:ascii="Segoe UI" w:eastAsia="Calibri" w:hAnsi="Segoe UI" w:cs="Calibri"/>
                <w:color w:val="000000"/>
                <w:sz w:val="19"/>
                <w:szCs w:val="19"/>
                <w:lang w:eastAsia="en-AU"/>
              </w:rPr>
              <w:t>(</w:t>
            </w:r>
            <w:r w:rsidRPr="008268EB">
              <w:rPr>
                <w:rFonts w:ascii="Segoe UI" w:eastAsia="Calibri" w:hAnsi="Segoe UI" w:cs="Calibri"/>
                <w:sz w:val="19"/>
                <w:szCs w:val="19"/>
                <w:lang w:eastAsia="en-AU"/>
              </w:rPr>
              <w:t>excluding timber harvesting/utilisation)</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4 April 2001</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Not applicable – threat abatement plan not considered a feasible, effective or efficient way to abate the process.</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Loss of climatic habitat caused by anthropogenic emissions of greenhouse gases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4 April 2001</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Not applicable – threat abatement plan not considered a feasible, effective or efficient way to abate the process. </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Loss and degradation of native plant and animal habitat by invasion of escaped garden plants, including aquatic plants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8 January 2010</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Not applicable – threat abatement plan not considered a feasible, effective or efficient way to abate the process. </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Novel biota and their impact on biodiversity</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23 February 2013</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Not applicable – threat abatement plan not considered a feasible, effective or efficient way to abate the process. </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Predation by European Red Fox</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16 July 2000</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2008</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Predation by feral cats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16 July 2000</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2015</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Predation, habitat degradation, competition and disease transmission by Feral Pigs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6 August 2001</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2017</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Psittacine Circoviral (beak and feather) disease affecting endangered psittacine species</w:t>
            </w:r>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4 April 2001</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2005; ceased on 1 October 2015, however, a non-statutory threat abatement advice is in place.</w:t>
            </w:r>
          </w:p>
        </w:tc>
      </w:tr>
      <w:tr w:rsidR="008268EB" w:rsidRPr="008268EB" w:rsidTr="007F17A0">
        <w:trPr>
          <w:trHeight w:val="340"/>
        </w:trPr>
        <w:tc>
          <w:tcPr>
            <w:tcW w:w="3798"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 xml:space="preserve">The reduction in the biodiversity of Australian native fauna and flora due to the red imported fire ant, </w:t>
            </w:r>
            <w:proofErr w:type="spellStart"/>
            <w:r w:rsidRPr="008268EB">
              <w:rPr>
                <w:rFonts w:ascii="Segoe UI" w:eastAsia="Calibri" w:hAnsi="Segoe UI" w:cs="Calibri"/>
                <w:i/>
                <w:sz w:val="19"/>
                <w:szCs w:val="19"/>
                <w:lang w:eastAsia="en-AU"/>
              </w:rPr>
              <w:t>Solenopsis</w:t>
            </w:r>
            <w:proofErr w:type="spellEnd"/>
            <w:r w:rsidRPr="008268EB">
              <w:rPr>
                <w:rFonts w:ascii="Segoe UI" w:eastAsia="Calibri" w:hAnsi="Segoe UI" w:cs="Calibri"/>
                <w:i/>
                <w:sz w:val="19"/>
                <w:szCs w:val="19"/>
                <w:lang w:eastAsia="en-AU"/>
              </w:rPr>
              <w:t xml:space="preserve"> </w:t>
            </w:r>
            <w:proofErr w:type="spellStart"/>
            <w:r w:rsidRPr="008268EB">
              <w:rPr>
                <w:rFonts w:ascii="Segoe UI" w:eastAsia="Calibri" w:hAnsi="Segoe UI" w:cs="Calibri"/>
                <w:i/>
                <w:sz w:val="19"/>
                <w:szCs w:val="19"/>
                <w:lang w:eastAsia="en-AU"/>
              </w:rPr>
              <w:t>invicta</w:t>
            </w:r>
            <w:proofErr w:type="spellEnd"/>
          </w:p>
        </w:tc>
        <w:tc>
          <w:tcPr>
            <w:tcW w:w="1587"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 April 2003</w:t>
            </w:r>
          </w:p>
        </w:tc>
        <w:tc>
          <w:tcPr>
            <w:tcW w:w="3515" w:type="dxa"/>
            <w:noWrap/>
          </w:tcPr>
          <w:p w:rsidR="008268EB" w:rsidRPr="008268EB" w:rsidRDefault="008268EB" w:rsidP="008268EB">
            <w:pPr>
              <w:spacing w:before="20" w:after="0" w:line="240" w:lineRule="auto"/>
              <w:rPr>
                <w:rFonts w:ascii="Segoe UI" w:eastAsia="Calibri" w:hAnsi="Segoe UI" w:cs="Calibri"/>
                <w:sz w:val="19"/>
                <w:szCs w:val="19"/>
                <w:lang w:eastAsia="en-AU"/>
              </w:rPr>
            </w:pPr>
            <w:r w:rsidRPr="008268EB">
              <w:rPr>
                <w:rFonts w:ascii="Segoe UI" w:eastAsia="Calibri" w:hAnsi="Segoe UI" w:cs="Calibri"/>
                <w:sz w:val="19"/>
                <w:szCs w:val="19"/>
                <w:lang w:eastAsia="en-AU"/>
              </w:rPr>
              <w:t>2006; ceased on 1 October 2016, however, a non-statutory threat abatement advice is in preparation.</w:t>
            </w:r>
          </w:p>
        </w:tc>
      </w:tr>
    </w:tbl>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Environmental Resources Information Network Species Profile and Threats Database. Accessed 31 July 2019</w:t>
      </w:r>
    </w:p>
    <w:p w:rsidR="008268EB" w:rsidRPr="008268EB" w:rsidRDefault="008268EB" w:rsidP="008268EB">
      <w:pPr>
        <w:keepNext/>
        <w:keepLines/>
        <w:spacing w:before="40" w:after="40"/>
        <w:outlineLvl w:val="4"/>
        <w:rPr>
          <w:rFonts w:ascii="Segoe UI" w:eastAsia="STZhongsong" w:hAnsi="Segoe UI" w:cs="Majalla UI"/>
          <w:i/>
          <w:color w:val="13345C"/>
        </w:rPr>
      </w:pPr>
      <w:r w:rsidRPr="008268EB">
        <w:rPr>
          <w:rFonts w:ascii="Segoe UI" w:eastAsia="STZhongsong" w:hAnsi="Segoe UI" w:cs="Majalla UI"/>
          <w:i/>
          <w:color w:val="13345C"/>
        </w:rPr>
        <w:t xml:space="preserve">Case study: predation by European Red Fox – the Southern Ark (East Gippsland) Weeds and Pests on Public Land Program </w:t>
      </w:r>
    </w:p>
    <w:p w:rsidR="008268EB" w:rsidRPr="008268EB" w:rsidRDefault="008268EB" w:rsidP="008268EB">
      <w:pPr>
        <w:jc w:val="both"/>
        <w:rPr>
          <w:rFonts w:ascii="Segoe UI" w:hAnsi="Segoe UI" w:cs="Segoe UI"/>
        </w:rPr>
      </w:pPr>
      <w:r w:rsidRPr="008268EB">
        <w:rPr>
          <w:rFonts w:ascii="Segoe UI" w:hAnsi="Segoe UI" w:cs="Segoe UI"/>
        </w:rPr>
        <w:t>Predation by the European Red Fox (</w:t>
      </w:r>
      <w:r w:rsidRPr="008268EB">
        <w:rPr>
          <w:rFonts w:ascii="Segoe UI" w:hAnsi="Segoe UI" w:cs="Segoe UI"/>
          <w:i/>
        </w:rPr>
        <w:t xml:space="preserve">Vulpes </w:t>
      </w:r>
      <w:proofErr w:type="spellStart"/>
      <w:r w:rsidRPr="008268EB">
        <w:rPr>
          <w:rFonts w:ascii="Segoe UI" w:hAnsi="Segoe UI" w:cs="Segoe UI"/>
          <w:i/>
        </w:rPr>
        <w:t>vulpes</w:t>
      </w:r>
      <w:proofErr w:type="spellEnd"/>
      <w:r w:rsidRPr="008268EB">
        <w:rPr>
          <w:rFonts w:ascii="Segoe UI" w:hAnsi="Segoe UI" w:cs="Segoe UI"/>
        </w:rPr>
        <w:t xml:space="preserve">) is listed as a key threatening process under the EPBC Act. Under the Act, the Australian Government, in consultation with the states and territories, developed the </w:t>
      </w:r>
      <w:r w:rsidRPr="008268EB">
        <w:rPr>
          <w:rFonts w:ascii="Segoe UI" w:hAnsi="Segoe UI" w:cs="Segoe UI"/>
          <w:i/>
        </w:rPr>
        <w:t>Threat abatement plan for predation by the European red fox</w:t>
      </w:r>
      <w:r w:rsidRPr="008268EB">
        <w:rPr>
          <w:rFonts w:ascii="Segoe UI" w:hAnsi="Segoe UI" w:cs="Segoe UI"/>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The threat abatement plan (TAP) identifies that fox populations need to be reduced over large areas because rapid population recovery, particularly by reinvasion, is a major problem (Australian Government Department of the Environment, Water, Heritage and the Arts [DEWHA] 2008b). The Southern Ark project in Victoria is identified as a successful example of a regional control program designed to protect at-risk species and substantially expand available habitat (DEWHA 2008a). </w:t>
      </w:r>
    </w:p>
    <w:p w:rsidR="008268EB" w:rsidRPr="008268EB" w:rsidRDefault="008268EB" w:rsidP="008268EB">
      <w:pPr>
        <w:jc w:val="both"/>
        <w:rPr>
          <w:rFonts w:ascii="Segoe UI" w:hAnsi="Segoe UI" w:cs="Segoe UI"/>
        </w:rPr>
      </w:pPr>
      <w:r w:rsidRPr="008268EB">
        <w:rPr>
          <w:rFonts w:ascii="Segoe UI" w:hAnsi="Segoe UI" w:cs="Segoe UI"/>
        </w:rPr>
        <w:t>Far East Gippsland is a stronghold for native terrestrial mammals, birds and reptiles, several of which are rare or locally extinct in other parts of Victoria. In 1995 an analysis by regional biodiversity staff of the threats operating on vertebrates in East Gippsland identified predation by foxes as a process that affected multiple species, but was feasible to address. This led to the implementation of Project Deliverance (1998–2003) (Dexter &amp; Murray 2009), a research project in which landscape-scale fox-baiting protocols were tested, refined, and applied operationally across several large areas of public forest (i.e. areas greater than 10,000 hectares) in the region.</w:t>
      </w:r>
    </w:p>
    <w:p w:rsidR="008268EB" w:rsidRPr="008268EB" w:rsidRDefault="008268EB" w:rsidP="008268EB">
      <w:pPr>
        <w:jc w:val="both"/>
        <w:rPr>
          <w:rFonts w:ascii="Segoe UI" w:hAnsi="Segoe UI" w:cs="Segoe UI"/>
        </w:rPr>
      </w:pPr>
      <w:r w:rsidRPr="008268EB">
        <w:rPr>
          <w:rFonts w:ascii="Segoe UI" w:hAnsi="Segoe UI" w:cs="Segoe UI"/>
        </w:rPr>
        <w:t>Populations of several species of native mammals known to be preyed upon by foxes were monitored; these demonstrated a significant increase following fox control. These species included the threatened Long-nosed Potoroo and Southern Brown Bandicoot, as well as the more abundant Common Brush-tailed Possum. The results of Project Deliverance formed the basis for the Southern Ark project, which began in 2004.</w:t>
      </w:r>
    </w:p>
    <w:p w:rsidR="008268EB" w:rsidRPr="008268EB" w:rsidRDefault="008268EB" w:rsidP="008268EB">
      <w:pPr>
        <w:jc w:val="both"/>
        <w:rPr>
          <w:rFonts w:ascii="Segoe UI" w:hAnsi="Segoe UI" w:cs="Segoe UI"/>
          <w:b/>
          <w:bCs/>
        </w:rPr>
      </w:pPr>
      <w:r w:rsidRPr="008268EB">
        <w:rPr>
          <w:rFonts w:ascii="Segoe UI" w:hAnsi="Segoe UI" w:cs="Segoe UI"/>
        </w:rPr>
        <w:t>Southern Ark operates across the entire eastern ‘wedge’ of Victoria, from the Snowy River valley to Cape Howe. It assists the recovery of multiple species across nearly one million hectares of State forest, national parks and private land. The recovery of both rare and more common species due to the reduction in the predation pressure from foxes has also led to the reinvigoration of the multiple ecosystem processes that these species are involved in, including soil aeration, the dispersal of critically important symbiotic hypogeal (underground) fungi, the breakdown in leaf litter and nutrient recycling, the reduction in fine fuels on the forest floor, and pollination and seed dispersal.</w:t>
      </w:r>
    </w:p>
    <w:p w:rsidR="008268EB" w:rsidRPr="008268EB" w:rsidRDefault="008268EB" w:rsidP="008268EB">
      <w:pPr>
        <w:jc w:val="both"/>
        <w:rPr>
          <w:rFonts w:ascii="Calibri" w:hAnsi="Calibri" w:cs="Segoe UI"/>
        </w:rPr>
      </w:pPr>
      <w:r w:rsidRPr="008268EB">
        <w:rPr>
          <w:rFonts w:ascii="Segoe UI" w:hAnsi="Segoe UI" w:cs="Segoe UI"/>
        </w:rPr>
        <w:t xml:space="preserve">The Southern Ark project is funded by the Victorian Government through the Weeds and Pests on Public Land Program. This project is helping to ensure that Victoria’s biodiversity is healthy, valued and actively cared for and is aligned with the implementation of </w:t>
      </w:r>
      <w:r w:rsidRPr="008268EB">
        <w:rPr>
          <w:rFonts w:ascii="Segoe UI" w:hAnsi="Segoe UI" w:cs="Segoe UI"/>
          <w:i/>
          <w:iCs/>
        </w:rPr>
        <w:t>Biodiversity 2037</w:t>
      </w:r>
      <w:r w:rsidRPr="008268EB">
        <w:rPr>
          <w:rFonts w:ascii="Segoe UI" w:hAnsi="Segoe UI" w:cs="Segoe UI"/>
        </w:rPr>
        <w:t>.</w:t>
      </w:r>
    </w:p>
    <w:p w:rsidR="008268EB" w:rsidRPr="008268EB" w:rsidRDefault="008268EB" w:rsidP="008268EB">
      <w:pPr>
        <w:jc w:val="both"/>
        <w:rPr>
          <w:rFonts w:ascii="Segoe UI" w:hAnsi="Segoe UI" w:cs="Segoe UI"/>
        </w:rPr>
      </w:pPr>
      <w:r w:rsidRPr="008268EB">
        <w:rPr>
          <w:rFonts w:ascii="Segoe UI" w:hAnsi="Segoe UI" w:cs="Segoe UI"/>
        </w:rPr>
        <w:t xml:space="preserve">Key achievements from this project include: </w:t>
      </w:r>
    </w:p>
    <w:p w:rsidR="008268EB" w:rsidRPr="008268EB" w:rsidRDefault="008268EB" w:rsidP="00F30F0A">
      <w:pPr>
        <w:numPr>
          <w:ilvl w:val="0"/>
          <w:numId w:val="45"/>
        </w:numPr>
        <w:spacing w:before="120" w:after="120" w:line="240" w:lineRule="auto"/>
        <w:ind w:left="709" w:hanging="425"/>
        <w:contextualSpacing/>
        <w:rPr>
          <w:rFonts w:ascii="Segoe UI" w:hAnsi="Segoe UI" w:cs="Segoe UI"/>
        </w:rPr>
      </w:pPr>
      <w:r w:rsidRPr="008268EB">
        <w:rPr>
          <w:rFonts w:ascii="Segoe UI" w:hAnsi="Segoe UI" w:cs="Segoe UI"/>
        </w:rPr>
        <w:t>Around 30,000 baits have been laid over 15 years.</w:t>
      </w:r>
    </w:p>
    <w:p w:rsidR="008268EB" w:rsidRPr="008268EB" w:rsidRDefault="008268EB" w:rsidP="00F30F0A">
      <w:pPr>
        <w:numPr>
          <w:ilvl w:val="0"/>
          <w:numId w:val="45"/>
        </w:numPr>
        <w:spacing w:before="120" w:after="120" w:line="240" w:lineRule="auto"/>
        <w:ind w:left="709" w:hanging="425"/>
        <w:contextualSpacing/>
        <w:rPr>
          <w:rFonts w:ascii="Segoe UI" w:hAnsi="Segoe UI" w:cs="Segoe UI"/>
        </w:rPr>
      </w:pPr>
      <w:r w:rsidRPr="008268EB">
        <w:rPr>
          <w:rFonts w:ascii="Segoe UI" w:hAnsi="Segoe UI" w:cs="Segoe UI"/>
        </w:rPr>
        <w:t>Long-footed Potoroos have been detected at over 200 new locations during the first round of camera-trap monitoring.</w:t>
      </w:r>
    </w:p>
    <w:p w:rsidR="008268EB" w:rsidRPr="008268EB" w:rsidRDefault="008268EB" w:rsidP="00F30F0A">
      <w:pPr>
        <w:numPr>
          <w:ilvl w:val="0"/>
          <w:numId w:val="45"/>
        </w:numPr>
        <w:spacing w:before="120" w:after="120" w:line="240" w:lineRule="auto"/>
        <w:ind w:left="709" w:hanging="425"/>
        <w:contextualSpacing/>
        <w:rPr>
          <w:rFonts w:ascii="Segoe UI" w:hAnsi="Segoe UI" w:cs="Segoe UI"/>
        </w:rPr>
      </w:pPr>
      <w:r w:rsidRPr="008268EB">
        <w:rPr>
          <w:rFonts w:ascii="Segoe UI" w:hAnsi="Segoe UI" w:cs="Segoe UI"/>
        </w:rPr>
        <w:t xml:space="preserve">It features one of the largest camera-trapping programs in Australia, with over 720 sites monitored for over five weeks each. </w:t>
      </w:r>
    </w:p>
    <w:p w:rsidR="008268EB" w:rsidRPr="008268EB" w:rsidRDefault="008268EB" w:rsidP="00F30F0A">
      <w:pPr>
        <w:numPr>
          <w:ilvl w:val="0"/>
          <w:numId w:val="45"/>
        </w:numPr>
        <w:spacing w:before="120" w:after="120" w:line="240" w:lineRule="auto"/>
        <w:ind w:left="709" w:hanging="425"/>
        <w:contextualSpacing/>
        <w:rPr>
          <w:rFonts w:ascii="Segoe UI" w:hAnsi="Segoe UI" w:cs="Segoe UI"/>
        </w:rPr>
      </w:pPr>
      <w:r w:rsidRPr="008268EB">
        <w:rPr>
          <w:rFonts w:ascii="Segoe UI" w:hAnsi="Segoe UI" w:cs="Segoe UI"/>
        </w:rPr>
        <w:t>Potoroos, bandicoots and possums all responded positively to fox control.</w:t>
      </w:r>
    </w:p>
    <w:p w:rsidR="008268EB" w:rsidRPr="008268EB" w:rsidRDefault="008268EB" w:rsidP="00F30F0A">
      <w:pPr>
        <w:numPr>
          <w:ilvl w:val="0"/>
          <w:numId w:val="45"/>
        </w:numPr>
        <w:spacing w:before="120" w:after="120" w:line="240" w:lineRule="auto"/>
        <w:ind w:left="709" w:hanging="425"/>
        <w:contextualSpacing/>
        <w:rPr>
          <w:rFonts w:ascii="Segoe UI" w:hAnsi="Segoe UI" w:cs="Segoe UI"/>
        </w:rPr>
      </w:pPr>
      <w:r w:rsidRPr="008268EB">
        <w:rPr>
          <w:rFonts w:ascii="Segoe UI" w:hAnsi="Segoe UI" w:cs="Segoe UI"/>
        </w:rPr>
        <w:t>Brush-tailed Rock-wallabies are recovering due to active management and fox control.</w:t>
      </w:r>
    </w:p>
    <w:p w:rsidR="008268EB" w:rsidRPr="008268EB" w:rsidRDefault="008268EB" w:rsidP="00F30F0A">
      <w:pPr>
        <w:numPr>
          <w:ilvl w:val="0"/>
          <w:numId w:val="45"/>
        </w:numPr>
        <w:spacing w:before="120" w:after="120" w:line="240" w:lineRule="auto"/>
        <w:ind w:left="709" w:hanging="425"/>
        <w:contextualSpacing/>
        <w:rPr>
          <w:rFonts w:ascii="Segoe UI" w:hAnsi="Segoe UI" w:cs="Segoe UI"/>
        </w:rPr>
      </w:pPr>
      <w:r w:rsidRPr="008268EB">
        <w:rPr>
          <w:rFonts w:ascii="Segoe UI" w:hAnsi="Segoe UI" w:cs="Segoe UI"/>
        </w:rPr>
        <w:t>Community groups, school students and university students have all been involved in its delivery.</w:t>
      </w:r>
    </w:p>
    <w:p w:rsidR="008268EB" w:rsidRPr="008268EB" w:rsidRDefault="008268EB" w:rsidP="008268EB">
      <w:pPr>
        <w:jc w:val="both"/>
        <w:rPr>
          <w:rFonts w:ascii="Segoe UI" w:eastAsia="Calibri" w:hAnsi="Segoe UI" w:cs="Segoe UI"/>
        </w:rPr>
      </w:pPr>
      <w:r w:rsidRPr="008268EB">
        <w:rPr>
          <w:rFonts w:ascii="Segoe UI" w:hAnsi="Segoe UI" w:cs="Segoe UI"/>
        </w:rPr>
        <w:t>The project</w:t>
      </w:r>
      <w:r w:rsidRPr="008268EB">
        <w:rPr>
          <w:rFonts w:ascii="Segoe UI" w:hAnsi="Segoe UI" w:cs="Segoe UI"/>
          <w:vertAlign w:val="superscript"/>
        </w:rPr>
        <w:footnoteReference w:id="8"/>
      </w:r>
      <w:r w:rsidRPr="008268EB">
        <w:rPr>
          <w:rFonts w:ascii="Segoe UI" w:hAnsi="Segoe UI" w:cs="Segoe UI"/>
        </w:rPr>
        <w:t xml:space="preserve"> is delivered by DELWP in partnership with Parks Victoria, a wide range of local private landholders and </w:t>
      </w:r>
      <w:proofErr w:type="spellStart"/>
      <w:r w:rsidRPr="008268EB">
        <w:rPr>
          <w:rFonts w:ascii="Segoe UI" w:hAnsi="Segoe UI" w:cs="Segoe UI"/>
        </w:rPr>
        <w:t>Moogji</w:t>
      </w:r>
      <w:proofErr w:type="spellEnd"/>
      <w:r w:rsidRPr="008268EB">
        <w:rPr>
          <w:rFonts w:ascii="Segoe UI" w:hAnsi="Segoe UI" w:cs="Segoe UI"/>
        </w:rPr>
        <w:t xml:space="preserve"> Aboriginal Council. </w:t>
      </w:r>
    </w:p>
    <w:p w:rsidR="008268EB" w:rsidRPr="008268EB" w:rsidRDefault="008268EB" w:rsidP="008268EB">
      <w:pPr>
        <w:spacing w:before="360" w:after="240" w:line="440" w:lineRule="atLeast"/>
        <w:outlineLvl w:val="1"/>
        <w:rPr>
          <w:rFonts w:ascii="Segoe UI" w:hAnsi="Segoe UI" w:cs="Segoe UI"/>
          <w:b/>
          <w:color w:val="0074A1"/>
          <w:sz w:val="32"/>
          <w:szCs w:val="32"/>
        </w:rPr>
      </w:pPr>
      <w:bookmarkStart w:id="96" w:name="_Toc11768300"/>
      <w:bookmarkStart w:id="97" w:name="_Toc30491982"/>
      <w:bookmarkStart w:id="98" w:name="_Toc33002079"/>
      <w:r w:rsidRPr="008268EB">
        <w:rPr>
          <w:rFonts w:ascii="Segoe UI" w:hAnsi="Segoe UI" w:cs="Segoe UI"/>
          <w:b/>
          <w:color w:val="0074A1"/>
          <w:sz w:val="32"/>
          <w:szCs w:val="32"/>
        </w:rPr>
        <w:t>National estate values</w:t>
      </w:r>
      <w:bookmarkEnd w:id="96"/>
      <w:bookmarkEnd w:id="97"/>
      <w:bookmarkEnd w:id="98"/>
      <w:r w:rsidRPr="008268EB">
        <w:rPr>
          <w:rFonts w:ascii="Segoe UI" w:hAnsi="Segoe UI" w:cs="Segoe UI"/>
          <w:b/>
          <w:color w:val="0074A1"/>
          <w:sz w:val="32"/>
          <w:szCs w:val="32"/>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National estate values in the </w:t>
      </w:r>
      <w:r w:rsidRPr="008268EB">
        <w:rPr>
          <w:rFonts w:ascii="Segoe UI" w:hAnsi="Segoe UI" w:cs="Segoe UI"/>
          <w:iCs/>
        </w:rPr>
        <w:t>RFA Act</w:t>
      </w:r>
      <w:r w:rsidRPr="008268EB">
        <w:rPr>
          <w:rFonts w:ascii="Segoe UI" w:hAnsi="Segoe UI" w:cs="Segoe UI"/>
        </w:rPr>
        <w:t xml:space="preserve"> refer to the aesthetic, historic, scientific, social significance or other values </w:t>
      </w:r>
      <w:r w:rsidRPr="008268EB">
        <w:rPr>
          <w:rFonts w:ascii="Segoe UI" w:hAnsi="Segoe UI" w:cs="Segoe UI"/>
          <w:vertAlign w:val="superscript"/>
        </w:rPr>
        <w:footnoteReference w:id="9"/>
      </w:r>
      <w:r w:rsidRPr="008268EB">
        <w:rPr>
          <w:rFonts w:ascii="Segoe UI" w:hAnsi="Segoe UI" w:cs="Segoe UI"/>
        </w:rPr>
        <w:t>of places that form part of the natural or cultural environment of Australia that make those places of significance or special value to current and future generations. National estate values are protected and managed through implementation of the CAR reserve system and the application of the Victorian forest management system.</w:t>
      </w:r>
    </w:p>
    <w:p w:rsidR="008268EB" w:rsidRPr="008268EB" w:rsidRDefault="008268EB" w:rsidP="008268EB">
      <w:pPr>
        <w:jc w:val="both"/>
        <w:rPr>
          <w:rFonts w:ascii="Segoe UI" w:hAnsi="Segoe UI" w:cs="Segoe UI"/>
          <w:iCs/>
          <w:color w:val="000000"/>
          <w:bdr w:val="none" w:sz="0" w:space="0" w:color="auto" w:frame="1"/>
        </w:rPr>
      </w:pPr>
      <w:r w:rsidRPr="008268EB">
        <w:rPr>
          <w:rFonts w:ascii="Segoe UI" w:hAnsi="Segoe UI" w:cs="Segoe UI"/>
        </w:rPr>
        <w:t xml:space="preserve">The term ‘national estate’ refers to places defined in s. 4 of the repealed </w:t>
      </w:r>
      <w:r w:rsidRPr="008268EB">
        <w:rPr>
          <w:rFonts w:ascii="Segoe UI" w:hAnsi="Segoe UI" w:cs="Segoe UI"/>
          <w:i/>
        </w:rPr>
        <w:t>Australian Heritage Commission Act 1975</w:t>
      </w:r>
      <w:r w:rsidRPr="008268EB">
        <w:rPr>
          <w:rFonts w:ascii="Segoe UI" w:hAnsi="Segoe UI" w:cs="Segoe UI"/>
        </w:rPr>
        <w:t xml:space="preserve"> (</w:t>
      </w:r>
      <w:proofErr w:type="spellStart"/>
      <w:r w:rsidRPr="008268EB">
        <w:rPr>
          <w:rFonts w:ascii="Segoe UI" w:hAnsi="Segoe UI" w:cs="Segoe UI"/>
        </w:rPr>
        <w:t>Cth</w:t>
      </w:r>
      <w:proofErr w:type="spellEnd"/>
      <w:r w:rsidRPr="008268EB">
        <w:rPr>
          <w:rFonts w:ascii="Segoe UI" w:hAnsi="Segoe UI" w:cs="Segoe UI"/>
        </w:rPr>
        <w:t xml:space="preserve">) (AHC Act). After the signing of the five Victorian RFAs, the </w:t>
      </w:r>
      <w:r w:rsidRPr="008268EB">
        <w:rPr>
          <w:rFonts w:ascii="Segoe UI" w:hAnsi="Segoe UI" w:cs="Segoe UI"/>
          <w:i/>
          <w:iCs/>
          <w:color w:val="000000"/>
          <w:bdr w:val="none" w:sz="0" w:space="0" w:color="auto" w:frame="1"/>
        </w:rPr>
        <w:t>AHC</w:t>
      </w:r>
      <w:r w:rsidRPr="008268EB">
        <w:rPr>
          <w:rFonts w:ascii="Segoe UI" w:hAnsi="Segoe UI" w:cs="Segoe UI"/>
          <w:iCs/>
          <w:color w:val="000000"/>
          <w:bdr w:val="none" w:sz="0" w:space="0" w:color="auto" w:frame="1"/>
        </w:rPr>
        <w:t xml:space="preserve"> </w:t>
      </w:r>
      <w:r w:rsidRPr="008268EB">
        <w:rPr>
          <w:rFonts w:ascii="Segoe UI" w:hAnsi="Segoe UI" w:cs="Segoe UI"/>
          <w:i/>
          <w:iCs/>
          <w:color w:val="000000"/>
          <w:bdr w:val="none" w:sz="0" w:space="0" w:color="auto" w:frame="1"/>
        </w:rPr>
        <w:t xml:space="preserve">Act </w:t>
      </w:r>
      <w:r w:rsidRPr="008268EB">
        <w:rPr>
          <w:rFonts w:ascii="Segoe UI" w:hAnsi="Segoe UI" w:cs="Segoe UI"/>
          <w:iCs/>
          <w:color w:val="000000"/>
          <w:bdr w:val="none" w:sz="0" w:space="0" w:color="auto" w:frame="1"/>
        </w:rPr>
        <w:t>was repealed</w:t>
      </w:r>
      <w:r w:rsidRPr="008268EB">
        <w:rPr>
          <w:rFonts w:ascii="Segoe UI" w:hAnsi="Segoe UI" w:cs="Segoe UI"/>
          <w:i/>
        </w:rPr>
        <w:t xml:space="preserve"> </w:t>
      </w:r>
      <w:r w:rsidRPr="008268EB">
        <w:rPr>
          <w:rFonts w:ascii="Segoe UI" w:hAnsi="Segoe UI" w:cs="Segoe UI"/>
        </w:rPr>
        <w:t>and the Register of the</w:t>
      </w:r>
      <w:r w:rsidRPr="008268EB">
        <w:rPr>
          <w:rFonts w:ascii="Segoe UI" w:hAnsi="Segoe UI" w:cs="Segoe UI"/>
          <w:lang w:eastAsia="ja-JP"/>
        </w:rPr>
        <w:t xml:space="preserve"> National Estate was phased out</w:t>
      </w:r>
      <w:r w:rsidRPr="008268EB">
        <w:rPr>
          <w:rFonts w:ascii="Segoe UI" w:hAnsi="Segoe UI" w:cs="Segoe UI"/>
          <w:i/>
          <w:iCs/>
          <w:color w:val="000000"/>
          <w:bdr w:val="none" w:sz="0" w:space="0" w:color="auto" w:frame="1"/>
        </w:rPr>
        <w:t xml:space="preserve">. </w:t>
      </w:r>
      <w:r w:rsidRPr="008268EB">
        <w:rPr>
          <w:rFonts w:ascii="Segoe UI" w:hAnsi="Segoe UI" w:cs="Segoe UI"/>
          <w:iCs/>
          <w:color w:val="000000"/>
          <w:bdr w:val="none" w:sz="0" w:space="0" w:color="auto" w:frame="1"/>
        </w:rPr>
        <w:t>As a consequence, the RFAs do not reflect the current system of heritage protection under the</w:t>
      </w:r>
      <w:r w:rsidRPr="008268EB">
        <w:rPr>
          <w:rFonts w:ascii="Segoe UI" w:hAnsi="Segoe UI" w:cs="Segoe UI"/>
          <w:i/>
          <w:iCs/>
          <w:color w:val="000000"/>
          <w:bdr w:val="none" w:sz="0" w:space="0" w:color="auto" w:frame="1"/>
        </w:rPr>
        <w:t xml:space="preserve"> </w:t>
      </w:r>
      <w:r w:rsidRPr="008268EB">
        <w:rPr>
          <w:rFonts w:ascii="Segoe UI" w:hAnsi="Segoe UI" w:cs="Segoe UI"/>
          <w:iCs/>
          <w:color w:val="000000"/>
          <w:bdr w:val="none" w:sz="0" w:space="0" w:color="auto" w:frame="1"/>
        </w:rPr>
        <w:t>EPBC Act through the National and Commonwealth Heritage Lists</w:t>
      </w:r>
      <w:r w:rsidRPr="008268EB">
        <w:rPr>
          <w:rFonts w:ascii="Segoe UI" w:hAnsi="Segoe UI" w:cs="Segoe UI"/>
          <w:i/>
          <w:iCs/>
          <w:color w:val="000000"/>
          <w:bdr w:val="none" w:sz="0" w:space="0" w:color="auto" w:frame="1"/>
        </w:rPr>
        <w:t xml:space="preserve"> </w:t>
      </w:r>
      <w:r w:rsidRPr="008268EB">
        <w:rPr>
          <w:rFonts w:ascii="Segoe UI" w:hAnsi="Segoe UI" w:cs="Segoe UI"/>
          <w:iCs/>
          <w:color w:val="000000"/>
          <w:bdr w:val="none" w:sz="0" w:space="0" w:color="auto" w:frame="1"/>
        </w:rPr>
        <w:t>and</w:t>
      </w:r>
      <w:r w:rsidRPr="008268EB">
        <w:rPr>
          <w:rFonts w:ascii="Segoe UI" w:hAnsi="Segoe UI" w:cs="Segoe UI"/>
          <w:i/>
          <w:iCs/>
          <w:color w:val="000000"/>
          <w:bdr w:val="none" w:sz="0" w:space="0" w:color="auto" w:frame="1"/>
        </w:rPr>
        <w:t xml:space="preserve"> </w:t>
      </w:r>
      <w:r w:rsidRPr="008268EB">
        <w:rPr>
          <w:rFonts w:ascii="Segoe UI" w:hAnsi="Segoe UI" w:cs="Segoe UI"/>
        </w:rPr>
        <w:t xml:space="preserve">the </w:t>
      </w:r>
      <w:r w:rsidRPr="008268EB">
        <w:rPr>
          <w:rFonts w:ascii="Segoe UI" w:hAnsi="Segoe UI" w:cs="Segoe UI"/>
          <w:i/>
          <w:iCs/>
          <w:color w:val="000000"/>
          <w:bdr w:val="none" w:sz="0" w:space="0" w:color="auto" w:frame="1"/>
        </w:rPr>
        <w:t xml:space="preserve">Australian Heritage Council Act 2003 </w:t>
      </w:r>
      <w:r w:rsidRPr="008268EB">
        <w:rPr>
          <w:rFonts w:ascii="Segoe UI" w:hAnsi="Segoe UI" w:cs="Segoe UI"/>
        </w:rPr>
        <w:t>(</w:t>
      </w:r>
      <w:proofErr w:type="spellStart"/>
      <w:r w:rsidRPr="008268EB">
        <w:rPr>
          <w:rFonts w:ascii="Segoe UI" w:hAnsi="Segoe UI" w:cs="Segoe UI"/>
        </w:rPr>
        <w:t>Cth</w:t>
      </w:r>
      <w:proofErr w:type="spellEnd"/>
      <w:r w:rsidRPr="008268EB">
        <w:rPr>
          <w:rFonts w:ascii="Segoe UI" w:hAnsi="Segoe UI" w:cs="Segoe UI"/>
        </w:rPr>
        <w:t>).</w:t>
      </w:r>
    </w:p>
    <w:p w:rsidR="008268EB" w:rsidRPr="008268EB" w:rsidRDefault="008268EB" w:rsidP="008268EB">
      <w:pPr>
        <w:jc w:val="both"/>
        <w:rPr>
          <w:rFonts w:ascii="Segoe UI" w:hAnsi="Segoe UI" w:cs="Segoe UI"/>
          <w:highlight w:val="yellow"/>
        </w:rPr>
      </w:pPr>
      <w:r w:rsidRPr="008268EB">
        <w:rPr>
          <w:rFonts w:ascii="Segoe UI" w:hAnsi="Segoe UI" w:cs="Segoe UI"/>
        </w:rPr>
        <w:t>The National Heritage List is a list of places with outstanding natural, Indigenous or historic heritage value to the nation. The Commonwealth Heritage List is a list of Indigenous, historic and natural heritage places owned or controlled by the Australian Government. There are 13 places on the National Heritage List and 17 places on the Commonwealth Heritage List within the Victorian RFA regions</w:t>
      </w:r>
      <w:r w:rsidRPr="008268EB">
        <w:rPr>
          <w:rFonts w:ascii="Segoe UI" w:hAnsi="Segoe UI" w:cs="Segoe UI"/>
          <w:vertAlign w:val="superscript"/>
        </w:rPr>
        <w:footnoteReference w:id="10"/>
      </w:r>
      <w:r w:rsidRPr="008268EB">
        <w:rPr>
          <w:rFonts w:ascii="Segoe UI" w:hAnsi="Segoe UI" w:cs="Segoe UI"/>
        </w:rPr>
        <w:t xml:space="preserve"> (</w:t>
      </w:r>
      <w:r w:rsidRPr="008268EB">
        <w:rPr>
          <w:rFonts w:ascii="Segoe UI" w:hAnsi="Segoe UI" w:cs="Segoe UI"/>
        </w:rPr>
        <w:fldChar w:fldCharType="begin"/>
      </w:r>
      <w:r w:rsidRPr="008268EB">
        <w:rPr>
          <w:rFonts w:ascii="Segoe UI" w:hAnsi="Segoe UI" w:cs="Segoe UI"/>
        </w:rPr>
        <w:instrText xml:space="preserve"> REF _Ref21356580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19</w:t>
      </w:r>
      <w:r w:rsidRPr="008268EB">
        <w:rPr>
          <w:rFonts w:ascii="Segoe UI" w:hAnsi="Segoe UI" w:cs="Segoe UI"/>
        </w:rPr>
        <w:fldChar w:fldCharType="end"/>
      </w:r>
      <w:r w:rsidRPr="008268EB">
        <w:rPr>
          <w:rFonts w:ascii="Segoe UI" w:hAnsi="Segoe UI" w:cs="Segoe UI"/>
        </w:rPr>
        <w:t xml:space="preserve"> and </w:t>
      </w:r>
      <w:r w:rsidRPr="008268EB">
        <w:rPr>
          <w:rFonts w:ascii="Segoe UI" w:hAnsi="Segoe UI" w:cs="Segoe UI"/>
        </w:rPr>
        <w:fldChar w:fldCharType="begin"/>
      </w:r>
      <w:r w:rsidRPr="008268EB">
        <w:rPr>
          <w:rFonts w:ascii="Segoe UI" w:hAnsi="Segoe UI" w:cs="Segoe UI"/>
        </w:rPr>
        <w:instrText xml:space="preserve"> REF _Ref25513021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20</w:t>
      </w:r>
      <w:r w:rsidRPr="008268EB">
        <w:rPr>
          <w:rFonts w:ascii="Segoe UI" w:hAnsi="Segoe UI" w:cs="Segoe UI"/>
        </w:rPr>
        <w:fldChar w:fldCharType="end"/>
      </w:r>
      <w:r w:rsidRPr="008268EB">
        <w:rPr>
          <w:rFonts w:ascii="Segoe UI" w:hAnsi="Segoe UI" w:cs="Segoe UI"/>
        </w:rPr>
        <w:t xml:space="preserve">). </w:t>
      </w:r>
    </w:p>
    <w:p w:rsidR="008268EB" w:rsidRPr="008268EB" w:rsidRDefault="008268EB" w:rsidP="008268EB">
      <w:pPr>
        <w:jc w:val="both"/>
        <w:rPr>
          <w:rFonts w:ascii="Segoe UI" w:hAnsi="Segoe UI" w:cs="Segoe UI"/>
        </w:rPr>
      </w:pPr>
      <w:r w:rsidRPr="008268EB">
        <w:rPr>
          <w:rFonts w:ascii="Segoe UI" w:hAnsi="Segoe UI" w:cs="Segoe UI"/>
        </w:rPr>
        <w:t>For the past 20 years, the forest management system has provided for the protection of national heritage values of National Heritage places in accordance with National Heritage management principles.</w:t>
      </w:r>
      <w:r w:rsidRPr="008268EB">
        <w:rPr>
          <w:rFonts w:ascii="Segoe UI" w:hAnsi="Segoe UI" w:cs="Segoe UI"/>
          <w:vertAlign w:val="superscript"/>
        </w:rPr>
        <w:footnoteReference w:id="11"/>
      </w:r>
      <w:r w:rsidRPr="008268EB">
        <w:rPr>
          <w:rFonts w:ascii="Segoe UI" w:hAnsi="Segoe UI" w:cs="Segoe UI"/>
        </w:rPr>
        <w:t xml:space="preserve"> </w:t>
      </w:r>
    </w:p>
    <w:p w:rsidR="008268EB" w:rsidRPr="008268EB" w:rsidRDefault="008268EB" w:rsidP="008268EB">
      <w:pPr>
        <w:keepNext/>
        <w:spacing w:before="240" w:after="240" w:line="240" w:lineRule="auto"/>
        <w:outlineLvl w:val="2"/>
        <w:rPr>
          <w:rFonts w:ascii="Segoe UI" w:hAnsi="Segoe UI" w:cs="Segoe UI"/>
          <w:b/>
          <w:color w:val="000000"/>
          <w:sz w:val="24"/>
          <w:szCs w:val="24"/>
          <w:lang w:eastAsia="en-AU"/>
        </w:rPr>
      </w:pPr>
      <w:bookmarkStart w:id="99" w:name="_Toc11768301"/>
      <w:bookmarkStart w:id="100" w:name="_Toc30491983"/>
      <w:bookmarkStart w:id="101" w:name="_Toc33002080"/>
      <w:r w:rsidRPr="008268EB">
        <w:rPr>
          <w:rFonts w:ascii="Segoe UI" w:hAnsi="Segoe UI" w:cs="Segoe UI"/>
          <w:b/>
          <w:color w:val="000000"/>
          <w:sz w:val="24"/>
          <w:szCs w:val="24"/>
          <w:lang w:eastAsia="en-AU"/>
        </w:rPr>
        <w:t>Changes to national legislation</w:t>
      </w:r>
      <w:bookmarkEnd w:id="99"/>
      <w:bookmarkEnd w:id="100"/>
      <w:bookmarkEnd w:id="101"/>
      <w:r w:rsidRPr="008268EB">
        <w:rPr>
          <w:rFonts w:ascii="Segoe UI" w:hAnsi="Segoe UI" w:cs="Segoe UI"/>
          <w:b/>
          <w:color w:val="000000"/>
          <w:sz w:val="24"/>
          <w:szCs w:val="24"/>
          <w:lang w:eastAsia="en-AU"/>
        </w:rPr>
        <w:t xml:space="preserve"> </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 xml:space="preserve">Closure of the Register of the National Estate </w:t>
      </w:r>
    </w:p>
    <w:p w:rsidR="008268EB" w:rsidRPr="008268EB" w:rsidRDefault="008268EB" w:rsidP="008268EB">
      <w:pPr>
        <w:jc w:val="both"/>
        <w:rPr>
          <w:rFonts w:ascii="Segoe UI" w:hAnsi="Segoe UI" w:cs="Segoe UI"/>
        </w:rPr>
      </w:pPr>
      <w:r w:rsidRPr="008268EB">
        <w:rPr>
          <w:rFonts w:ascii="Segoe UI" w:hAnsi="Segoe UI" w:cs="Segoe UI"/>
        </w:rPr>
        <w:t>After the Victorian RFAs were signed between 1997 and 2000, a new system of national heritage protection was introduced. The Register of the National Estate was a national list of places of natural, historic and Indigenous significance. Each site was identified under the repealed AHC Act and the EPBC Act. The register was maintained by the Australian Heritage Commission and later the Australian Government between 1975 and 2007.</w:t>
      </w:r>
    </w:p>
    <w:p w:rsidR="008268EB" w:rsidRPr="008268EB" w:rsidRDefault="008268EB" w:rsidP="008268EB">
      <w:pPr>
        <w:jc w:val="both"/>
        <w:rPr>
          <w:rFonts w:ascii="Segoe UI" w:hAnsi="Segoe UI" w:cs="Segoe UI"/>
        </w:rPr>
      </w:pPr>
      <w:r w:rsidRPr="008268EB">
        <w:rPr>
          <w:rFonts w:ascii="Segoe UI" w:hAnsi="Segoe UI" w:cs="Segoe UI"/>
        </w:rPr>
        <w:t xml:space="preserve">In 1997, the Council of Australian Governments agreed that it was more appropriate for heritage listing and protection to be the responsibility of the government agencies that were best placed to deliver agreed outcomes. As a result, the </w:t>
      </w:r>
      <w:r w:rsidRPr="008268EB">
        <w:rPr>
          <w:rFonts w:ascii="Segoe UI" w:hAnsi="Segoe UI" w:cs="Segoe UI"/>
          <w:iCs/>
          <w:color w:val="000000"/>
          <w:bdr w:val="none" w:sz="0" w:space="0" w:color="auto" w:frame="1"/>
        </w:rPr>
        <w:t>AHC Act</w:t>
      </w:r>
      <w:r w:rsidRPr="008268EB">
        <w:rPr>
          <w:rFonts w:ascii="Segoe UI" w:hAnsi="Segoe UI" w:cs="Segoe UI"/>
          <w:i/>
          <w:iCs/>
          <w:color w:val="000000"/>
          <w:bdr w:val="none" w:sz="0" w:space="0" w:color="auto" w:frame="1"/>
        </w:rPr>
        <w:t xml:space="preserve"> </w:t>
      </w:r>
      <w:r w:rsidRPr="008268EB">
        <w:rPr>
          <w:rFonts w:ascii="Segoe UI" w:hAnsi="Segoe UI" w:cs="Segoe UI"/>
          <w:color w:val="000000"/>
          <w:bdr w:val="none" w:sz="0" w:space="0" w:color="auto" w:frame="1"/>
        </w:rPr>
        <w:t>was repealed and</w:t>
      </w:r>
      <w:r w:rsidRPr="008268EB">
        <w:rPr>
          <w:rFonts w:ascii="Segoe UI" w:hAnsi="Segoe UI" w:cs="Segoe UI"/>
          <w:i/>
          <w:iCs/>
          <w:color w:val="000000"/>
          <w:bdr w:val="none" w:sz="0" w:space="0" w:color="auto" w:frame="1"/>
        </w:rPr>
        <w:t xml:space="preserve"> </w:t>
      </w:r>
      <w:r w:rsidRPr="008268EB">
        <w:rPr>
          <w:rFonts w:ascii="Segoe UI" w:hAnsi="Segoe UI" w:cs="Segoe UI"/>
        </w:rPr>
        <w:t xml:space="preserve">the Register of the National Estate was phased out as a statutory list. </w:t>
      </w:r>
    </w:p>
    <w:p w:rsidR="008268EB" w:rsidRPr="008268EB" w:rsidRDefault="008268EB" w:rsidP="008268EB">
      <w:pPr>
        <w:jc w:val="both"/>
        <w:rPr>
          <w:rFonts w:ascii="Segoe UI" w:hAnsi="Segoe UI" w:cs="Segoe UI"/>
        </w:rPr>
      </w:pPr>
      <w:r w:rsidRPr="008268EB">
        <w:rPr>
          <w:rFonts w:ascii="Segoe UI" w:hAnsi="Segoe UI" w:cs="Segoe UI"/>
        </w:rPr>
        <w:t>The register was frozen in 2007 and ceased to be a recognised statutory list in February 2012. The Register of the National Estate is maintained on a non-statutory basis as a publicly available archive of information on more than 13,000 places throughout Australia. This list can be publicly accessed on the Australian Heritage Database.</w:t>
      </w:r>
      <w:r w:rsidRPr="008268EB">
        <w:rPr>
          <w:rFonts w:ascii="Segoe UI" w:hAnsi="Segoe UI" w:cs="Segoe UI"/>
          <w:vertAlign w:val="superscript"/>
        </w:rPr>
        <w:footnoteReference w:id="12"/>
      </w:r>
      <w:r w:rsidRPr="008268EB">
        <w:rPr>
          <w:rFonts w:ascii="Segoe UI" w:hAnsi="Segoe UI" w:cs="Segoe UI"/>
        </w:rPr>
        <w:t xml:space="preserve"> </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A new national heritage system</w:t>
      </w:r>
    </w:p>
    <w:p w:rsidR="008268EB" w:rsidRPr="008268EB" w:rsidRDefault="008268EB" w:rsidP="008268EB">
      <w:pPr>
        <w:jc w:val="both"/>
        <w:rPr>
          <w:rFonts w:ascii="Segoe UI" w:hAnsi="Segoe UI" w:cs="Segoe UI"/>
        </w:rPr>
      </w:pPr>
      <w:r w:rsidRPr="008268EB">
        <w:rPr>
          <w:rFonts w:ascii="Segoe UI" w:hAnsi="Segoe UI" w:cs="Segoe UI"/>
        </w:rPr>
        <w:t>The expiration and repeal of parts of the EPBC Act and the AHC relating to the Register of National Estate did not diminish protection of Commonwealth heritage places. These parts were superseded by stronger ongoing heritage protection provisions under national environment law.</w:t>
      </w:r>
    </w:p>
    <w:p w:rsidR="008268EB" w:rsidRPr="008268EB" w:rsidRDefault="008268EB" w:rsidP="008268EB">
      <w:pPr>
        <w:jc w:val="both"/>
        <w:rPr>
          <w:rFonts w:ascii="Segoe UI" w:hAnsi="Segoe UI" w:cs="Segoe UI"/>
          <w:i/>
        </w:rPr>
      </w:pPr>
      <w:r w:rsidRPr="008268EB">
        <w:rPr>
          <w:rFonts w:ascii="Segoe UI" w:hAnsi="Segoe UI" w:cs="Segoe UI"/>
        </w:rPr>
        <w:t>National estate values are now managed through a combination of the National and Commonwealth Heritage Lists, the Victorian Heritage Register and the Heritage Codes of local planning schemes.</w:t>
      </w:r>
      <w:r w:rsidRPr="008268EB">
        <w:rPr>
          <w:rFonts w:ascii="Segoe UI" w:hAnsi="Segoe UI" w:cs="Segoe UI"/>
          <w:i/>
        </w:rPr>
        <w:t xml:space="preserve"> </w:t>
      </w:r>
      <w:r w:rsidRPr="008268EB">
        <w:rPr>
          <w:rFonts w:ascii="Segoe UI" w:hAnsi="Segoe UI" w:cs="Segoe UI"/>
        </w:rPr>
        <w:t>The National Heritage List includes places of outstanding heritage value to the nation, and the Commonwealth Heritage List includes heritage places owned or controlled by the Commonwealth.</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 xml:space="preserve">Commonwealth and National Heritage List assessment </w:t>
      </w:r>
    </w:p>
    <w:p w:rsidR="008268EB" w:rsidRPr="008268EB" w:rsidRDefault="008268EB" w:rsidP="008268EB">
      <w:pPr>
        <w:jc w:val="both"/>
        <w:rPr>
          <w:rFonts w:ascii="Segoe UI" w:hAnsi="Segoe UI" w:cs="Segoe UI"/>
          <w:lang w:eastAsia="en-AU"/>
        </w:rPr>
      </w:pPr>
      <w:r w:rsidRPr="008268EB">
        <w:rPr>
          <w:rFonts w:ascii="Segoe UI" w:hAnsi="Segoe UI" w:cs="Segoe UI"/>
          <w:lang w:eastAsia="en-AU"/>
        </w:rPr>
        <w:t>Anyone can nominate a place with significant or outstanding heritage values for the Commonwealth or National Heritage List.</w:t>
      </w:r>
      <w:r w:rsidRPr="008268EB">
        <w:rPr>
          <w:rFonts w:ascii="Segoe UI" w:hAnsi="Segoe UI" w:cs="Segoe UI"/>
        </w:rPr>
        <w:t xml:space="preserve"> The Australian Heritage Council assesses the values of nominated places against set criteria and makes recommendations to the Minister for the Environment about listing. There are two key tools used to assess Commonwealth and National Heritage List nominations: criteria and thresholds.</w:t>
      </w:r>
      <w:r w:rsidRPr="008268EB">
        <w:rPr>
          <w:rFonts w:ascii="Segoe UI" w:hAnsi="Segoe UI" w:cs="Segoe UI"/>
          <w:lang w:eastAsia="en-AU"/>
        </w:rPr>
        <w:t xml:space="preserve"> To reach the threshold for the National Heritage List, a place must have ’outstanding’ heritage value to the nation. This means that it must be important to the Australian community as a whole. The threshold for inclusion on the Commonwealth Heritage List is local heritage significance.</w:t>
      </w:r>
    </w:p>
    <w:p w:rsidR="008268EB" w:rsidRPr="008268EB" w:rsidRDefault="008268EB" w:rsidP="008268EB">
      <w:pPr>
        <w:keepNext/>
        <w:spacing w:before="240" w:after="240" w:line="240" w:lineRule="auto"/>
        <w:outlineLvl w:val="2"/>
        <w:rPr>
          <w:rFonts w:ascii="Segoe UI" w:hAnsi="Segoe UI" w:cs="Segoe UI"/>
          <w:b/>
          <w:color w:val="000000"/>
          <w:sz w:val="24"/>
          <w:szCs w:val="24"/>
          <w:lang w:eastAsia="en-AU"/>
        </w:rPr>
      </w:pPr>
      <w:bookmarkStart w:id="102" w:name="_Toc11768302"/>
      <w:bookmarkStart w:id="103" w:name="_Toc30491984"/>
      <w:bookmarkStart w:id="104" w:name="_Toc33002081"/>
      <w:r w:rsidRPr="008268EB">
        <w:rPr>
          <w:rFonts w:ascii="Segoe UI" w:hAnsi="Segoe UI" w:cs="Segoe UI"/>
          <w:b/>
          <w:color w:val="000000"/>
          <w:sz w:val="24"/>
          <w:szCs w:val="24"/>
          <w:lang w:eastAsia="en-AU"/>
        </w:rPr>
        <w:t>Victorian legislation to protect national estate values</w:t>
      </w:r>
      <w:bookmarkEnd w:id="102"/>
      <w:bookmarkEnd w:id="103"/>
      <w:bookmarkEnd w:id="104"/>
    </w:p>
    <w:p w:rsidR="008268EB" w:rsidRPr="008268EB" w:rsidRDefault="008268EB" w:rsidP="008268EB">
      <w:pPr>
        <w:keepNext/>
        <w:spacing w:before="120" w:after="120" w:line="240" w:lineRule="auto"/>
        <w:jc w:val="both"/>
        <w:outlineLvl w:val="3"/>
        <w:rPr>
          <w:rFonts w:ascii="Segoe UI" w:hAnsi="Segoe UI" w:cs="Segoe UI"/>
          <w:i/>
          <w:sz w:val="24"/>
          <w:szCs w:val="24"/>
          <w:lang w:eastAsia="en-AU"/>
        </w:rPr>
      </w:pPr>
      <w:r w:rsidRPr="008268EB">
        <w:rPr>
          <w:rFonts w:ascii="Segoe UI" w:hAnsi="Segoe UI" w:cs="Segoe UI"/>
          <w:i/>
          <w:sz w:val="24"/>
          <w:szCs w:val="24"/>
          <w:lang w:eastAsia="en-AU"/>
        </w:rPr>
        <w:t>Heritage Act 2017</w:t>
      </w:r>
    </w:p>
    <w:p w:rsidR="008268EB" w:rsidRPr="008268EB" w:rsidRDefault="008268EB" w:rsidP="008268EB">
      <w:pPr>
        <w:jc w:val="both"/>
        <w:rPr>
          <w:rFonts w:ascii="Segoe UI" w:hAnsi="Segoe UI" w:cs="Segoe UI"/>
          <w:lang w:eastAsia="en-AU"/>
        </w:rPr>
      </w:pPr>
      <w:r w:rsidRPr="008268EB">
        <w:rPr>
          <w:rFonts w:ascii="Segoe UI" w:hAnsi="Segoe UI" w:cs="Segoe UI"/>
          <w:lang w:eastAsia="en-AU"/>
        </w:rPr>
        <w:t xml:space="preserve">The </w:t>
      </w:r>
      <w:r w:rsidRPr="008268EB">
        <w:rPr>
          <w:rFonts w:ascii="Segoe UI" w:hAnsi="Segoe UI" w:cs="Segoe UI"/>
          <w:i/>
        </w:rPr>
        <w:t>Heritage Act 2017</w:t>
      </w:r>
      <w:r w:rsidRPr="008268EB">
        <w:rPr>
          <w:rFonts w:ascii="Segoe UI" w:hAnsi="Segoe UI" w:cs="Segoe UI"/>
          <w:lang w:eastAsia="en-AU"/>
        </w:rPr>
        <w:t xml:space="preserve"> is administered by Heritage Victoria and is Victoria’s main cultural heritage legislation. The Act identifies and protects heritage places and objects that are of state-level cultural heritage significance to Victoria, including:</w:t>
      </w:r>
    </w:p>
    <w:p w:rsidR="008268EB" w:rsidRPr="008268EB" w:rsidRDefault="008268EB" w:rsidP="008268EB">
      <w:pPr>
        <w:numPr>
          <w:ilvl w:val="0"/>
          <w:numId w:val="46"/>
        </w:numPr>
        <w:spacing w:before="120" w:after="120" w:line="240" w:lineRule="auto"/>
        <w:contextualSpacing/>
        <w:rPr>
          <w:rFonts w:ascii="Segoe UI" w:hAnsi="Segoe UI" w:cs="Segoe UI"/>
        </w:rPr>
      </w:pPr>
      <w:r w:rsidRPr="008268EB">
        <w:rPr>
          <w:rFonts w:ascii="Segoe UI" w:hAnsi="Segoe UI" w:cs="Segoe UI"/>
        </w:rPr>
        <w:t>archaeological sites and artefacts</w:t>
      </w:r>
    </w:p>
    <w:p w:rsidR="008268EB" w:rsidRPr="008268EB" w:rsidRDefault="008268EB" w:rsidP="008268EB">
      <w:pPr>
        <w:numPr>
          <w:ilvl w:val="0"/>
          <w:numId w:val="46"/>
        </w:numPr>
        <w:spacing w:before="120" w:after="120" w:line="240" w:lineRule="auto"/>
        <w:contextualSpacing/>
        <w:rPr>
          <w:rFonts w:ascii="Segoe UI" w:hAnsi="Segoe UI" w:cs="Segoe UI"/>
        </w:rPr>
      </w:pPr>
      <w:r w:rsidRPr="008268EB">
        <w:rPr>
          <w:rFonts w:ascii="Segoe UI" w:hAnsi="Segoe UI" w:cs="Segoe UI"/>
        </w:rPr>
        <w:t>historic buildings, structures and precincts</w:t>
      </w:r>
    </w:p>
    <w:p w:rsidR="008268EB" w:rsidRPr="008268EB" w:rsidRDefault="008268EB" w:rsidP="008268EB">
      <w:pPr>
        <w:numPr>
          <w:ilvl w:val="0"/>
          <w:numId w:val="46"/>
        </w:numPr>
        <w:spacing w:before="120" w:after="120" w:line="240" w:lineRule="auto"/>
        <w:contextualSpacing/>
        <w:rPr>
          <w:rFonts w:ascii="Segoe UI" w:hAnsi="Segoe UI" w:cs="Segoe UI"/>
        </w:rPr>
      </w:pPr>
      <w:r w:rsidRPr="008268EB">
        <w:rPr>
          <w:rFonts w:ascii="Segoe UI" w:hAnsi="Segoe UI" w:cs="Segoe UI"/>
        </w:rPr>
        <w:t>gardens, trees and cemeteries</w:t>
      </w:r>
    </w:p>
    <w:p w:rsidR="008268EB" w:rsidRPr="008268EB" w:rsidRDefault="008268EB" w:rsidP="008268EB">
      <w:pPr>
        <w:numPr>
          <w:ilvl w:val="0"/>
          <w:numId w:val="46"/>
        </w:numPr>
        <w:spacing w:before="120" w:after="120" w:line="240" w:lineRule="auto"/>
        <w:contextualSpacing/>
        <w:rPr>
          <w:rFonts w:ascii="Segoe UI" w:hAnsi="Segoe UI" w:cs="Segoe UI"/>
        </w:rPr>
      </w:pPr>
      <w:r w:rsidRPr="008268EB">
        <w:rPr>
          <w:rFonts w:ascii="Segoe UI" w:hAnsi="Segoe UI" w:cs="Segoe UI"/>
        </w:rPr>
        <w:t>cultural landscapes</w:t>
      </w:r>
    </w:p>
    <w:p w:rsidR="008268EB" w:rsidRPr="008268EB" w:rsidRDefault="008268EB" w:rsidP="008268EB">
      <w:pPr>
        <w:numPr>
          <w:ilvl w:val="0"/>
          <w:numId w:val="46"/>
        </w:numPr>
        <w:spacing w:before="120" w:after="120" w:line="240" w:lineRule="auto"/>
        <w:contextualSpacing/>
        <w:rPr>
          <w:rFonts w:ascii="Segoe UI" w:hAnsi="Segoe UI" w:cs="Segoe UI"/>
        </w:rPr>
      </w:pPr>
      <w:r w:rsidRPr="008268EB">
        <w:rPr>
          <w:rFonts w:ascii="Segoe UI" w:hAnsi="Segoe UI" w:cs="Segoe UI"/>
        </w:rPr>
        <w:t>shipwrecks and artefacts</w:t>
      </w:r>
    </w:p>
    <w:p w:rsidR="008268EB" w:rsidRPr="008268EB" w:rsidRDefault="008268EB" w:rsidP="008268EB">
      <w:pPr>
        <w:numPr>
          <w:ilvl w:val="0"/>
          <w:numId w:val="46"/>
        </w:numPr>
        <w:spacing w:before="120" w:after="120" w:line="240" w:lineRule="auto"/>
        <w:contextualSpacing/>
        <w:rPr>
          <w:rFonts w:ascii="Segoe UI" w:hAnsi="Segoe UI" w:cs="Segoe UI"/>
        </w:rPr>
      </w:pPr>
      <w:r w:rsidRPr="008268EB">
        <w:rPr>
          <w:rFonts w:ascii="Segoe UI" w:hAnsi="Segoe UI" w:cs="Segoe UI"/>
        </w:rPr>
        <w:t>significant objects.</w:t>
      </w:r>
    </w:p>
    <w:p w:rsidR="008268EB" w:rsidRPr="008268EB" w:rsidRDefault="008268EB" w:rsidP="008268EB">
      <w:pPr>
        <w:jc w:val="both"/>
        <w:rPr>
          <w:rFonts w:ascii="Segoe UI" w:hAnsi="Segoe UI" w:cs="Segoe UI"/>
        </w:rPr>
      </w:pPr>
      <w:r w:rsidRPr="008268EB">
        <w:rPr>
          <w:rFonts w:ascii="Segoe UI" w:hAnsi="Segoe UI" w:cs="Segoe UI"/>
        </w:rPr>
        <w:t xml:space="preserve">The Act establishes the Victorian Heritage Register, the Heritage Inventory and the Heritage Council of Victoria. It also establishes a legislative framework for heritage protection in Victoria, replacing the </w:t>
      </w:r>
      <w:r w:rsidRPr="008268EB">
        <w:rPr>
          <w:rFonts w:ascii="Segoe UI" w:hAnsi="Segoe UI" w:cs="Segoe UI"/>
          <w:i/>
        </w:rPr>
        <w:t>Heritage Act 1995</w:t>
      </w:r>
      <w:r w:rsidRPr="008268EB">
        <w:rPr>
          <w:rFonts w:ascii="Segoe UI" w:hAnsi="Segoe UI" w:cs="Segoe UI"/>
        </w:rPr>
        <w:t xml:space="preserve">, </w:t>
      </w:r>
      <w:r w:rsidRPr="008268EB">
        <w:rPr>
          <w:rFonts w:ascii="Segoe UI" w:hAnsi="Segoe UI" w:cs="Segoe UI"/>
          <w:i/>
        </w:rPr>
        <w:t>Historic Buildings Act 1981</w:t>
      </w:r>
      <w:r w:rsidRPr="008268EB">
        <w:rPr>
          <w:rFonts w:ascii="Segoe UI" w:hAnsi="Segoe UI" w:cs="Segoe UI"/>
        </w:rPr>
        <w:t xml:space="preserve">, </w:t>
      </w:r>
      <w:r w:rsidRPr="008268EB">
        <w:rPr>
          <w:rFonts w:ascii="Segoe UI" w:hAnsi="Segoe UI" w:cs="Segoe UI"/>
          <w:i/>
        </w:rPr>
        <w:t>Historic Shipwrecks Act 1981</w:t>
      </w:r>
      <w:r w:rsidRPr="008268EB">
        <w:rPr>
          <w:rFonts w:ascii="Segoe UI" w:hAnsi="Segoe UI" w:cs="Segoe UI"/>
        </w:rPr>
        <w:t xml:space="preserve"> and part of the </w:t>
      </w:r>
      <w:r w:rsidRPr="008268EB">
        <w:rPr>
          <w:rFonts w:ascii="Segoe UI" w:hAnsi="Segoe UI" w:cs="Segoe UI"/>
          <w:i/>
        </w:rPr>
        <w:t>Archaeological and Aboriginal Relics Preservation Act 1971</w:t>
      </w:r>
      <w:r w:rsidRPr="008268EB">
        <w:rPr>
          <w:rFonts w:ascii="Segoe UI" w:hAnsi="Segoe UI" w:cs="Segoe UI"/>
        </w:rPr>
        <w:t>.</w:t>
      </w:r>
    </w:p>
    <w:p w:rsidR="008268EB" w:rsidRPr="008268EB" w:rsidRDefault="008268EB" w:rsidP="008268EB">
      <w:pPr>
        <w:jc w:val="both"/>
        <w:rPr>
          <w:rFonts w:ascii="Segoe UI" w:hAnsi="Segoe UI" w:cs="Segoe UI"/>
        </w:rPr>
      </w:pPr>
      <w:r w:rsidRPr="008268EB">
        <w:rPr>
          <w:rFonts w:ascii="Segoe UI" w:hAnsi="Segoe UI" w:cs="Segoe UI"/>
        </w:rPr>
        <w:t>The Victorian Heritage Register is a database of places and objects that are of particular importance to the people of Victoria and that may be valued by particular social groups. The Heritage Council of Victoria is responsible for determining which places and objects are added to the database.</w:t>
      </w:r>
    </w:p>
    <w:p w:rsidR="008268EB" w:rsidRPr="008268EB" w:rsidRDefault="008268EB" w:rsidP="008268EB">
      <w:pPr>
        <w:keepNext/>
        <w:spacing w:before="120" w:after="120" w:line="240" w:lineRule="auto"/>
        <w:jc w:val="both"/>
        <w:outlineLvl w:val="3"/>
        <w:rPr>
          <w:rFonts w:ascii="Segoe UI" w:hAnsi="Segoe UI" w:cs="Segoe UI"/>
          <w:i/>
          <w:sz w:val="24"/>
          <w:szCs w:val="24"/>
        </w:rPr>
      </w:pPr>
      <w:r w:rsidRPr="008268EB">
        <w:rPr>
          <w:rFonts w:ascii="Segoe UI" w:hAnsi="Segoe UI" w:cs="Segoe UI"/>
          <w:i/>
          <w:sz w:val="24"/>
          <w:szCs w:val="24"/>
        </w:rPr>
        <w:t>Aboriginal Heritage Act 2006</w:t>
      </w:r>
    </w:p>
    <w:p w:rsidR="008268EB" w:rsidRPr="008268EB" w:rsidRDefault="008268EB" w:rsidP="008268EB">
      <w:pPr>
        <w:jc w:val="both"/>
        <w:rPr>
          <w:rFonts w:ascii="Segoe UI" w:hAnsi="Segoe UI" w:cs="Segoe UI"/>
        </w:rPr>
      </w:pPr>
      <w:r w:rsidRPr="008268EB">
        <w:rPr>
          <w:rFonts w:ascii="Segoe UI" w:hAnsi="Segoe UI" w:cs="Segoe UI"/>
        </w:rPr>
        <w:t xml:space="preserve">The </w:t>
      </w:r>
      <w:r w:rsidRPr="008268EB">
        <w:rPr>
          <w:rFonts w:ascii="Segoe UI" w:hAnsi="Segoe UI" w:cs="Segoe UI"/>
          <w:i/>
        </w:rPr>
        <w:t>Aboriginal Heritage Act 2006</w:t>
      </w:r>
      <w:r w:rsidRPr="008268EB">
        <w:rPr>
          <w:rFonts w:ascii="Segoe UI" w:hAnsi="Segoe UI" w:cs="Segoe UI"/>
        </w:rPr>
        <w:t xml:space="preserve"> (AHA) recognises Aboriginal people as the primary guardians, keepers and knowledge holders of Aboriginal cultural heritage, and links the protection of Aboriginal cultural heritage in Victoria with planning and land development processes. The AHA replaced Part IIA of the Commonwealth </w:t>
      </w:r>
      <w:r w:rsidRPr="008268EB">
        <w:rPr>
          <w:rFonts w:ascii="Segoe UI" w:hAnsi="Segoe UI" w:cs="Segoe UI"/>
          <w:i/>
        </w:rPr>
        <w:t>Aboriginal and Torres Strait Islander Heritage Protection Act 1984</w:t>
      </w:r>
      <w:r w:rsidRPr="008268EB">
        <w:rPr>
          <w:rFonts w:ascii="Segoe UI" w:hAnsi="Segoe UI" w:cs="Segoe UI"/>
        </w:rPr>
        <w:t xml:space="preserve"> and the Victorian </w:t>
      </w:r>
      <w:r w:rsidRPr="008268EB">
        <w:rPr>
          <w:rFonts w:ascii="Segoe UI" w:hAnsi="Segoe UI" w:cs="Segoe UI"/>
          <w:i/>
        </w:rPr>
        <w:t>Archaeological and Aboriginal Relics Preservation Act 1972</w:t>
      </w:r>
      <w:r w:rsidRPr="008268EB">
        <w:rPr>
          <w:rFonts w:ascii="Segoe UI" w:hAnsi="Segoe UI" w:cs="Segoe UI"/>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 The AHA also provides the mechanism through which Registered Aboriginal Parties (RAPs) are appointed. RAPs are organisations that represent Traditional Owners of the area for which the RAP has been appointed and hold decision-making responsibilities under the AHA for the protection, management and preservation of Aboriginal cultural heritage in these areas.</w:t>
      </w:r>
    </w:p>
    <w:p w:rsidR="008268EB" w:rsidRPr="008268EB" w:rsidRDefault="008268EB" w:rsidP="008268EB">
      <w:pPr>
        <w:jc w:val="both"/>
        <w:rPr>
          <w:rFonts w:ascii="Segoe UI" w:hAnsi="Segoe UI" w:cs="Segoe UI"/>
        </w:rPr>
      </w:pPr>
      <w:r w:rsidRPr="008268EB">
        <w:rPr>
          <w:rFonts w:ascii="Segoe UI" w:hAnsi="Segoe UI" w:cs="Segoe UI"/>
        </w:rPr>
        <w:t xml:space="preserve">Section 148 of the AHA outlines the functions of a RAP: </w:t>
      </w:r>
    </w:p>
    <w:p w:rsidR="008268EB" w:rsidRPr="008268EB" w:rsidRDefault="008268EB" w:rsidP="008268EB">
      <w:pPr>
        <w:jc w:val="both"/>
        <w:rPr>
          <w:rFonts w:ascii="Segoe UI" w:hAnsi="Segoe UI" w:cs="Segoe UI"/>
        </w:rPr>
      </w:pPr>
      <w:r w:rsidRPr="008268EB">
        <w:rPr>
          <w:rFonts w:ascii="Segoe UI" w:hAnsi="Segoe UI" w:cs="Segoe UI"/>
        </w:rPr>
        <w:t>(a) to act as a primary source of advice and knowledge for the Minister, Secretary and Council on matters relating to Aboriginal places located in or Aboriginal objects originating from the area for which the party is registered;</w:t>
      </w:r>
    </w:p>
    <w:p w:rsidR="008268EB" w:rsidRPr="008268EB" w:rsidRDefault="008268EB" w:rsidP="008268EB">
      <w:pPr>
        <w:jc w:val="both"/>
        <w:rPr>
          <w:rFonts w:ascii="Segoe UI" w:hAnsi="Segoe UI" w:cs="Segoe UI"/>
        </w:rPr>
      </w:pPr>
      <w:r w:rsidRPr="008268EB">
        <w:rPr>
          <w:rFonts w:ascii="Segoe UI" w:hAnsi="Segoe UI" w:cs="Segoe UI"/>
        </w:rPr>
        <w:t xml:space="preserve"> (b) to advise the Minister regarding, and to negotiate, the repatriation of Aboriginal cultural heritage that relates to the area for which the party is registered;</w:t>
      </w:r>
    </w:p>
    <w:p w:rsidR="008268EB" w:rsidRPr="008268EB" w:rsidRDefault="008268EB" w:rsidP="008268EB">
      <w:pPr>
        <w:jc w:val="both"/>
        <w:rPr>
          <w:rFonts w:ascii="Segoe UI" w:hAnsi="Segoe UI" w:cs="Segoe UI"/>
        </w:rPr>
      </w:pPr>
      <w:r w:rsidRPr="008268EB">
        <w:rPr>
          <w:rFonts w:ascii="Segoe UI" w:hAnsi="Segoe UI" w:cs="Segoe UI"/>
        </w:rPr>
        <w:t xml:space="preserve"> (c) to consider and advise on applications for cultural heritage permits;</w:t>
      </w:r>
    </w:p>
    <w:p w:rsidR="008268EB" w:rsidRPr="008268EB" w:rsidRDefault="008268EB" w:rsidP="008268EB">
      <w:pPr>
        <w:jc w:val="both"/>
        <w:rPr>
          <w:rFonts w:ascii="Segoe UI" w:hAnsi="Segoe UI" w:cs="Segoe UI"/>
        </w:rPr>
      </w:pPr>
      <w:r w:rsidRPr="008268EB">
        <w:rPr>
          <w:rFonts w:ascii="Segoe UI" w:hAnsi="Segoe UI" w:cs="Segoe UI"/>
        </w:rPr>
        <w:t xml:space="preserve"> (d) to evaluate and approve or refuse to approve cultural heritage management plans that relate to the area for which the party is registered;</w:t>
      </w:r>
    </w:p>
    <w:p w:rsidR="008268EB" w:rsidRPr="008268EB" w:rsidRDefault="008268EB" w:rsidP="008268EB">
      <w:pPr>
        <w:jc w:val="both"/>
        <w:rPr>
          <w:rFonts w:ascii="Segoe UI" w:hAnsi="Segoe UI" w:cs="Segoe UI"/>
        </w:rPr>
      </w:pPr>
      <w:r w:rsidRPr="008268EB">
        <w:rPr>
          <w:rFonts w:ascii="Segoe UI" w:hAnsi="Segoe UI" w:cs="Segoe UI"/>
        </w:rPr>
        <w:t xml:space="preserve"> (e) to enter into cultural heritage agreements;</w:t>
      </w:r>
    </w:p>
    <w:p w:rsidR="008268EB" w:rsidRPr="008268EB" w:rsidRDefault="008268EB" w:rsidP="008268EB">
      <w:pPr>
        <w:jc w:val="both"/>
        <w:rPr>
          <w:rFonts w:ascii="Segoe UI" w:hAnsi="Segoe UI" w:cs="Segoe UI"/>
        </w:rPr>
      </w:pPr>
      <w:r w:rsidRPr="008268EB">
        <w:rPr>
          <w:rFonts w:ascii="Segoe UI" w:hAnsi="Segoe UI" w:cs="Segoe UI"/>
        </w:rPr>
        <w:t xml:space="preserve"> (f) to apply for interim and ongoing protection declarations;</w:t>
      </w:r>
    </w:p>
    <w:p w:rsidR="008268EB" w:rsidRPr="008268EB" w:rsidRDefault="008268EB" w:rsidP="008268EB">
      <w:pPr>
        <w:jc w:val="both"/>
        <w:rPr>
          <w:rFonts w:ascii="Segoe UI" w:hAnsi="Segoe UI" w:cs="Segoe UI"/>
        </w:rPr>
      </w:pPr>
      <w:r w:rsidRPr="008268EB">
        <w:rPr>
          <w:rFonts w:ascii="Segoe UI" w:hAnsi="Segoe UI" w:cs="Segoe UI"/>
        </w:rPr>
        <w:t xml:space="preserve"> (g) to carry out any other functions conferred on registered Aboriginal parties by or under this Act.</w:t>
      </w:r>
    </w:p>
    <w:p w:rsidR="008268EB" w:rsidRPr="008268EB" w:rsidRDefault="008268EB" w:rsidP="008268EB">
      <w:pPr>
        <w:jc w:val="both"/>
        <w:rPr>
          <w:rFonts w:ascii="Segoe UI" w:hAnsi="Segoe UI" w:cs="Segoe UI"/>
        </w:rPr>
      </w:pPr>
      <w:r w:rsidRPr="008268EB">
        <w:rPr>
          <w:rFonts w:ascii="Segoe UI" w:hAnsi="Segoe UI" w:cs="Segoe UI"/>
        </w:rPr>
        <w:t xml:space="preserve">The </w:t>
      </w:r>
      <w:r w:rsidRPr="008268EB">
        <w:rPr>
          <w:rFonts w:ascii="Segoe UI" w:hAnsi="Segoe UI" w:cs="Segoe UI"/>
          <w:i/>
        </w:rPr>
        <w:t>Aboriginal Heritage Regulations 2018</w:t>
      </w:r>
      <w:r w:rsidRPr="008268EB">
        <w:rPr>
          <w:rFonts w:ascii="Segoe UI" w:hAnsi="Segoe UI" w:cs="Segoe UI"/>
        </w:rPr>
        <w:t xml:space="preserve"> give effect to the Act, outlining the standards, procedures and fees for proposing an activity or development in an area of cultural heritage sensitivity.</w:t>
      </w:r>
    </w:p>
    <w:p w:rsidR="008268EB" w:rsidRPr="008268EB" w:rsidRDefault="008268EB" w:rsidP="008268EB">
      <w:pPr>
        <w:keepNext/>
        <w:spacing w:before="240" w:after="240" w:line="240" w:lineRule="auto"/>
        <w:outlineLvl w:val="2"/>
        <w:rPr>
          <w:rFonts w:ascii="Segoe UI" w:hAnsi="Segoe UI" w:cs="Segoe UI"/>
          <w:b/>
          <w:color w:val="000000"/>
          <w:sz w:val="24"/>
          <w:szCs w:val="24"/>
          <w:lang w:eastAsia="en-AU"/>
        </w:rPr>
      </w:pPr>
      <w:bookmarkStart w:id="105" w:name="_Toc524952789"/>
      <w:bookmarkStart w:id="106" w:name="_Toc531002082"/>
      <w:bookmarkStart w:id="107" w:name="_Toc11768303"/>
      <w:bookmarkStart w:id="108" w:name="_Toc30491985"/>
      <w:bookmarkStart w:id="109" w:name="_Toc33002082"/>
      <w:r w:rsidRPr="008268EB">
        <w:rPr>
          <w:rFonts w:ascii="Segoe UI" w:hAnsi="Segoe UI" w:cs="Segoe UI"/>
          <w:b/>
          <w:color w:val="000000"/>
          <w:sz w:val="24"/>
          <w:szCs w:val="24"/>
        </w:rPr>
        <w:t>Indicator 6.4b: Registered places of non-Indigenous cultural value in forests that are formally managed to protect those values</w:t>
      </w:r>
      <w:bookmarkEnd w:id="105"/>
      <w:bookmarkEnd w:id="106"/>
      <w:bookmarkEnd w:id="107"/>
      <w:bookmarkEnd w:id="108"/>
      <w:bookmarkEnd w:id="109"/>
    </w:p>
    <w:p w:rsidR="008268EB" w:rsidRPr="008268EB" w:rsidRDefault="008268EB" w:rsidP="008268EB">
      <w:pPr>
        <w:jc w:val="both"/>
        <w:rPr>
          <w:rFonts w:ascii="Segoe UI" w:hAnsi="Segoe UI" w:cs="Segoe UI"/>
          <w:color w:val="000000"/>
          <w:lang w:eastAsia="en-AU"/>
        </w:rPr>
      </w:pPr>
      <w:r w:rsidRPr="008268EB">
        <w:rPr>
          <w:rFonts w:ascii="Segoe UI" w:hAnsi="Segoe UI" w:cs="Segoe UI"/>
        </w:rPr>
        <w:t>This indicator measures and monitors management regimes for non-Indigenous cultural values, such as historical, research, education, aesthetic and social heritage values. Indigenous cultural heritage values are considered under indicators 6.4a, 6.4c and 6.4d, elsewhere in this document.</w:t>
      </w:r>
    </w:p>
    <w:p w:rsidR="008268EB" w:rsidRPr="008268EB" w:rsidRDefault="008268EB" w:rsidP="008268EB">
      <w:pPr>
        <w:jc w:val="both"/>
        <w:rPr>
          <w:rFonts w:ascii="Segoe UI" w:hAnsi="Segoe UI" w:cs="Segoe UI"/>
        </w:rPr>
      </w:pPr>
      <w:r w:rsidRPr="008268EB">
        <w:rPr>
          <w:rFonts w:ascii="Segoe UI" w:hAnsi="Segoe UI" w:cs="Segoe UI"/>
          <w:lang w:eastAsia="ja-JP"/>
        </w:rPr>
        <w:t xml:space="preserve">Within the Victorian RFA regions there are 13 places registered on the National Heritage List and 17 </w:t>
      </w:r>
      <w:r w:rsidRPr="008268EB">
        <w:rPr>
          <w:rFonts w:ascii="Segoe UI" w:hAnsi="Segoe UI" w:cs="Segoe UI"/>
        </w:rPr>
        <w:t xml:space="preserve">places on the Commonwealth Heritage List. </w:t>
      </w:r>
      <w:r w:rsidRPr="008268EB">
        <w:rPr>
          <w:rFonts w:ascii="Segoe UI" w:hAnsi="Segoe UI" w:cs="Segoe UI"/>
        </w:rPr>
        <w:fldChar w:fldCharType="begin"/>
      </w:r>
      <w:r w:rsidRPr="008268EB">
        <w:rPr>
          <w:rFonts w:ascii="Segoe UI" w:hAnsi="Segoe UI" w:cs="Segoe UI"/>
        </w:rPr>
        <w:instrText xml:space="preserve"> REF _Ref25246350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Figure </w:t>
      </w:r>
      <w:r w:rsidRPr="008268EB">
        <w:rPr>
          <w:rFonts w:ascii="Segoe UI" w:hAnsi="Segoe UI" w:cs="Segoe UI"/>
          <w:noProof/>
        </w:rPr>
        <w:t>3</w:t>
      </w:r>
      <w:r w:rsidRPr="008268EB">
        <w:rPr>
          <w:rFonts w:ascii="Segoe UI" w:hAnsi="Segoe UI" w:cs="Segoe UI"/>
        </w:rPr>
        <w:fldChar w:fldCharType="end"/>
      </w:r>
      <w:r w:rsidRPr="008268EB">
        <w:rPr>
          <w:rFonts w:ascii="Segoe UI" w:hAnsi="Segoe UI" w:cs="Segoe UI"/>
        </w:rPr>
        <w:t xml:space="preserve"> shows the locations of the listed National and Commonwealth Heritage places in the Victorian RFA regions.</w:t>
      </w:r>
    </w:p>
    <w:p w:rsidR="008268EB" w:rsidRPr="008268EB" w:rsidRDefault="008268EB" w:rsidP="008268EB">
      <w:pPr>
        <w:rPr>
          <w:rFonts w:ascii="Segoe UI" w:hAnsi="Segoe UI" w:cs="Segoe UI"/>
        </w:rPr>
      </w:pPr>
      <w:bookmarkStart w:id="110" w:name="_Toc531002147"/>
      <w:r w:rsidRPr="008268EB">
        <w:rPr>
          <w:rFonts w:ascii="Segoe UI" w:hAnsi="Segoe UI" w:cs="Segoe UI"/>
          <w:noProof/>
        </w:rPr>
        <w:drawing>
          <wp:inline distT="0" distB="0" distL="0" distR="0" wp14:anchorId="7054226A" wp14:editId="66B92328">
            <wp:extent cx="6023610" cy="4481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3610" cy="4481195"/>
                    </a:xfrm>
                    <a:prstGeom prst="rect">
                      <a:avLst/>
                    </a:prstGeom>
                    <a:noFill/>
                  </pic:spPr>
                </pic:pic>
              </a:graphicData>
            </a:graphic>
          </wp:inline>
        </w:drawing>
      </w:r>
    </w:p>
    <w:p w:rsidR="008268EB" w:rsidRPr="008268EB" w:rsidRDefault="008268EB" w:rsidP="008268EB">
      <w:pPr>
        <w:spacing w:after="200" w:line="240" w:lineRule="auto"/>
        <w:rPr>
          <w:rFonts w:ascii="Segoe UI Semibold" w:eastAsia="Times New Roman" w:hAnsi="Segoe UI Semibold" w:cs="Times New Roman"/>
          <w:color w:val="016295"/>
        </w:rPr>
      </w:pPr>
      <w:bookmarkStart w:id="111" w:name="_Ref25246350"/>
      <w:r w:rsidRPr="008268EB">
        <w:rPr>
          <w:rFonts w:ascii="Segoe UI Semibold" w:eastAsia="Times New Roman" w:hAnsi="Segoe UI Semibold" w:cs="Times New Roman"/>
          <w:color w:val="016295"/>
        </w:rPr>
        <w:t xml:space="preserve">Figure </w:t>
      </w:r>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Figure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3</w:t>
      </w:r>
      <w:r w:rsidRPr="008268EB">
        <w:rPr>
          <w:rFonts w:ascii="Segoe UI Semibold" w:eastAsia="Times New Roman" w:hAnsi="Segoe UI Semibold" w:cs="Times New Roman"/>
          <w:noProof/>
          <w:color w:val="016295"/>
        </w:rPr>
        <w:fldChar w:fldCharType="end"/>
      </w:r>
      <w:bookmarkEnd w:id="111"/>
      <w:r w:rsidRPr="008268EB">
        <w:rPr>
          <w:rFonts w:ascii="Segoe UI Semibold" w:eastAsia="Times New Roman" w:hAnsi="Segoe UI Semibold" w:cs="Times New Roman"/>
          <w:color w:val="016295"/>
        </w:rPr>
        <w:t xml:space="preserve">: Locations of National Heritage and Commonwealth Heritage listed places within Victorian RFA regions, 2019 </w:t>
      </w:r>
    </w:p>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 xml:space="preserve">Source: </w:t>
      </w:r>
      <w:proofErr w:type="spellStart"/>
      <w:r w:rsidRPr="008268EB">
        <w:rPr>
          <w:rFonts w:ascii="Segoe UI" w:eastAsia="STZhongsong" w:hAnsi="Segoe UI" w:cs="Segoe UI"/>
          <w:bCs/>
          <w:sz w:val="18"/>
          <w:szCs w:val="18"/>
          <w:lang w:eastAsia="ko-KR"/>
        </w:rPr>
        <w:t>DoEE</w:t>
      </w:r>
      <w:proofErr w:type="spellEnd"/>
      <w:r w:rsidRPr="008268EB">
        <w:rPr>
          <w:rFonts w:ascii="Segoe UI" w:eastAsia="STZhongsong" w:hAnsi="Segoe UI" w:cs="Segoe UI"/>
          <w:bCs/>
          <w:sz w:val="18"/>
          <w:szCs w:val="18"/>
          <w:lang w:eastAsia="ko-KR"/>
        </w:rPr>
        <w:t xml:space="preserve"> 2019a</w:t>
      </w:r>
    </w:p>
    <w:p w:rsidR="008268EB" w:rsidRPr="008268EB" w:rsidRDefault="008268EB" w:rsidP="008268EB">
      <w:pPr>
        <w:jc w:val="both"/>
        <w:rPr>
          <w:rFonts w:ascii="Segoe UI" w:hAnsi="Segoe UI" w:cs="Segoe UI"/>
        </w:rPr>
      </w:pPr>
      <w:r w:rsidRPr="008268EB">
        <w:rPr>
          <w:rFonts w:ascii="Segoe UI" w:hAnsi="Segoe UI" w:cs="Segoe UI"/>
        </w:rPr>
        <w:t>Across the Victorian RFA regions, approximately 1 million hectares of forested land is on sites classified as non-Indigenous Heritage Sites of Victoria. These are largely in the Alpine National Park and Grampians National Park. The cultural values of these sites are protected through state and Commonwealth legislation. Many of the National Heritage places (</w:t>
      </w:r>
      <w:r w:rsidRPr="008268EB">
        <w:rPr>
          <w:rFonts w:ascii="Segoe UI" w:hAnsi="Segoe UI" w:cs="Segoe UI"/>
        </w:rPr>
        <w:fldChar w:fldCharType="begin"/>
      </w:r>
      <w:r w:rsidRPr="008268EB">
        <w:rPr>
          <w:rFonts w:ascii="Segoe UI" w:hAnsi="Segoe UI" w:cs="Segoe UI"/>
        </w:rPr>
        <w:instrText xml:space="preserve"> REF _Ref25246350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Figure </w:t>
      </w:r>
      <w:r w:rsidRPr="008268EB">
        <w:rPr>
          <w:rFonts w:ascii="Segoe UI" w:hAnsi="Segoe UI" w:cs="Segoe UI"/>
          <w:noProof/>
        </w:rPr>
        <w:t>3</w:t>
      </w:r>
      <w:r w:rsidRPr="008268EB">
        <w:rPr>
          <w:rFonts w:ascii="Segoe UI" w:hAnsi="Segoe UI" w:cs="Segoe UI"/>
        </w:rPr>
        <w:fldChar w:fldCharType="end"/>
      </w:r>
      <w:r w:rsidRPr="008268EB">
        <w:rPr>
          <w:rFonts w:ascii="Segoe UI" w:hAnsi="Segoe UI" w:cs="Segoe UI"/>
        </w:rPr>
        <w:t xml:space="preserve">) include forested areas and are managed to protect cultural and natural values by being in national parks, reserves and protected areas. </w:t>
      </w:r>
      <w:r w:rsidRPr="008268EB">
        <w:rPr>
          <w:rFonts w:ascii="Segoe UI" w:hAnsi="Segoe UI" w:cs="Segoe UI"/>
        </w:rPr>
        <w:fldChar w:fldCharType="begin"/>
      </w:r>
      <w:r w:rsidRPr="008268EB">
        <w:rPr>
          <w:rFonts w:ascii="Segoe UI" w:hAnsi="Segoe UI" w:cs="Segoe UI"/>
        </w:rPr>
        <w:instrText xml:space="preserve"> REF _Ref21356580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19</w:t>
      </w:r>
      <w:r w:rsidRPr="008268EB">
        <w:rPr>
          <w:rFonts w:ascii="Segoe UI" w:hAnsi="Segoe UI" w:cs="Segoe UI"/>
        </w:rPr>
        <w:fldChar w:fldCharType="end"/>
      </w:r>
      <w:r w:rsidRPr="008268EB">
        <w:rPr>
          <w:rFonts w:ascii="Segoe UI" w:hAnsi="Segoe UI" w:cs="Segoe UI"/>
        </w:rPr>
        <w:t xml:space="preserve"> provides a list of locations added to the register since 2004. </w:t>
      </w: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Del="00A84733" w:rsidRDefault="008268EB" w:rsidP="008268EB">
      <w:pPr>
        <w:spacing w:after="200" w:line="240" w:lineRule="auto"/>
        <w:rPr>
          <w:rFonts w:ascii="Segoe UI Semibold" w:eastAsia="Times New Roman" w:hAnsi="Segoe UI Semibold" w:cs="Times New Roman"/>
          <w:color w:val="016295"/>
          <w:sz w:val="18"/>
          <w:szCs w:val="18"/>
        </w:rPr>
      </w:pPr>
      <w:bookmarkStart w:id="112" w:name="_Ref527451246"/>
      <w:bookmarkStart w:id="113" w:name="_Ref12873301"/>
      <w:bookmarkStart w:id="114" w:name="_Ref21356580"/>
      <w:bookmarkStart w:id="115" w:name="_Toc531002167"/>
      <w:bookmarkStart w:id="116" w:name="_Toc25660803"/>
      <w:bookmarkEnd w:id="110"/>
      <w:r w:rsidRPr="008268EB">
        <w:rPr>
          <w:rFonts w:ascii="Segoe UI Semibold" w:eastAsia="Times New Roman" w:hAnsi="Segoe UI Semibold" w:cs="Times New Roman"/>
          <w:color w:val="016295"/>
        </w:rPr>
        <w:t xml:space="preserve">Table </w:t>
      </w:r>
      <w:bookmarkEnd w:id="112"/>
      <w:bookmarkEnd w:id="113"/>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19</w:t>
      </w:r>
      <w:r w:rsidRPr="008268EB">
        <w:rPr>
          <w:rFonts w:ascii="Segoe UI Semibold" w:eastAsia="Times New Roman" w:hAnsi="Segoe UI Semibold" w:cs="Times New Roman"/>
          <w:color w:val="016295"/>
        </w:rPr>
        <w:fldChar w:fldCharType="end"/>
      </w:r>
      <w:bookmarkEnd w:id="114"/>
      <w:r w:rsidRPr="008268EB">
        <w:rPr>
          <w:rFonts w:ascii="Segoe UI Semibold" w:eastAsia="Times New Roman" w:hAnsi="Segoe UI Semibold" w:cs="Times New Roman"/>
          <w:color w:val="016295"/>
        </w:rPr>
        <w:t>: Victorian National Heritage List places</w:t>
      </w:r>
      <w:bookmarkEnd w:id="115"/>
      <w:bookmarkEnd w:id="116"/>
    </w:p>
    <w:tbl>
      <w:tblPr>
        <w:tblStyle w:val="xTable2"/>
        <w:tblW w:w="9072" w:type="dxa"/>
        <w:tblLayout w:type="fixed"/>
        <w:tblLook w:val="04A0" w:firstRow="1" w:lastRow="0" w:firstColumn="1" w:lastColumn="0" w:noHBand="0" w:noVBand="1"/>
      </w:tblPr>
      <w:tblGrid>
        <w:gridCol w:w="3969"/>
        <w:gridCol w:w="1701"/>
        <w:gridCol w:w="1701"/>
        <w:gridCol w:w="1701"/>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3969" w:type="dxa"/>
            <w:hideMark/>
          </w:tcPr>
          <w:p w:rsidR="008268EB" w:rsidRPr="008268EB" w:rsidRDefault="008268EB" w:rsidP="008268EB">
            <w:pPr>
              <w:rPr>
                <w:rFonts w:ascii="Segoe UI" w:hAnsi="Segoe UI" w:cs="Segoe UI"/>
              </w:rPr>
            </w:pPr>
            <w:bookmarkStart w:id="117" w:name="_Ref514682931"/>
            <w:r w:rsidRPr="008268EB">
              <w:rPr>
                <w:rFonts w:ascii="Segoe UI" w:hAnsi="Segoe UI" w:cs="Segoe UI"/>
              </w:rPr>
              <w:t>Name</w:t>
            </w:r>
          </w:p>
        </w:tc>
        <w:tc>
          <w:tcPr>
            <w:tcW w:w="1701"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Type</w:t>
            </w:r>
          </w:p>
        </w:tc>
        <w:tc>
          <w:tcPr>
            <w:tcW w:w="1701"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Calibri"/>
              </w:rPr>
            </w:pPr>
            <w:r w:rsidRPr="008268EB">
              <w:rPr>
                <w:rFonts w:ascii="Segoe UI" w:hAnsi="Segoe UI" w:cs="Segoe UI"/>
              </w:rPr>
              <w:t>RFA region</w:t>
            </w:r>
            <w:r w:rsidRPr="008268EB">
              <w:rPr>
                <w:rFonts w:ascii="Segoe UI" w:hAnsi="Segoe UI" w:cs="Segoe UI"/>
                <w:position w:val="8"/>
              </w:rPr>
              <w:t>a</w:t>
            </w:r>
          </w:p>
        </w:tc>
        <w:tc>
          <w:tcPr>
            <w:tcW w:w="1701"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Listing date</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Australian Alps National Parks and Reserves</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Natural</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CH, EG, G, NE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07/11/2008</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Bonegilla Migrant Camp – Block 19</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07/12/2007</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proofErr w:type="spellStart"/>
            <w:r w:rsidRPr="008268EB">
              <w:rPr>
                <w:rFonts w:ascii="Segoe UI" w:eastAsia="Calibri" w:hAnsi="Segoe UI" w:cs="Calibri"/>
                <w:szCs w:val="19"/>
                <w:lang w:eastAsia="en-AU"/>
              </w:rPr>
              <w:t>Budj</w:t>
            </w:r>
            <w:proofErr w:type="spellEnd"/>
            <w:r w:rsidRPr="008268EB">
              <w:rPr>
                <w:rFonts w:ascii="Segoe UI" w:eastAsia="Calibri" w:hAnsi="Segoe UI" w:cs="Calibri"/>
                <w:szCs w:val="19"/>
                <w:lang w:eastAsia="en-AU"/>
              </w:rPr>
              <w:t xml:space="preserve"> </w:t>
            </w:r>
            <w:proofErr w:type="spellStart"/>
            <w:r w:rsidRPr="008268EB">
              <w:rPr>
                <w:rFonts w:ascii="Segoe UI" w:eastAsia="Calibri" w:hAnsi="Segoe UI" w:cs="Calibri"/>
                <w:szCs w:val="19"/>
                <w:lang w:eastAsia="en-AU"/>
              </w:rPr>
              <w:t>Bim</w:t>
            </w:r>
            <w:proofErr w:type="spellEnd"/>
            <w:r w:rsidRPr="008268EB">
              <w:rPr>
                <w:rFonts w:ascii="Segoe UI" w:eastAsia="Calibri" w:hAnsi="Segoe UI" w:cs="Calibri"/>
                <w:szCs w:val="19"/>
                <w:lang w:eastAsia="en-AU"/>
              </w:rPr>
              <w:t xml:space="preserve"> National Heritage Landscape – </w:t>
            </w:r>
            <w:r w:rsidRPr="008268EB">
              <w:rPr>
                <w:rFonts w:ascii="Segoe UI" w:eastAsia="Calibri" w:hAnsi="Segoe UI" w:cs="Calibri"/>
                <w:szCs w:val="19"/>
                <w:lang w:eastAsia="en-AU"/>
              </w:rPr>
              <w:br/>
              <w:t>Mt Eccles Lake Condah Area</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Indigenous</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20/07/2004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proofErr w:type="spellStart"/>
            <w:r w:rsidRPr="008268EB">
              <w:rPr>
                <w:rFonts w:ascii="Segoe UI" w:eastAsia="Calibri" w:hAnsi="Segoe UI" w:cs="Calibri"/>
                <w:szCs w:val="19"/>
                <w:lang w:eastAsia="en-AU"/>
              </w:rPr>
              <w:t>Budj</w:t>
            </w:r>
            <w:proofErr w:type="spellEnd"/>
            <w:r w:rsidRPr="008268EB">
              <w:rPr>
                <w:rFonts w:ascii="Segoe UI" w:eastAsia="Calibri" w:hAnsi="Segoe UI" w:cs="Calibri"/>
                <w:szCs w:val="19"/>
                <w:lang w:eastAsia="en-AU"/>
              </w:rPr>
              <w:t xml:space="preserve"> </w:t>
            </w:r>
            <w:proofErr w:type="spellStart"/>
            <w:r w:rsidRPr="008268EB">
              <w:rPr>
                <w:rFonts w:ascii="Segoe UI" w:eastAsia="Calibri" w:hAnsi="Segoe UI" w:cs="Calibri"/>
                <w:szCs w:val="19"/>
                <w:lang w:eastAsia="en-AU"/>
              </w:rPr>
              <w:t>Bim</w:t>
            </w:r>
            <w:proofErr w:type="spellEnd"/>
            <w:r w:rsidRPr="008268EB">
              <w:rPr>
                <w:rFonts w:ascii="Segoe UI" w:eastAsia="Calibri" w:hAnsi="Segoe UI" w:cs="Calibri"/>
                <w:szCs w:val="19"/>
                <w:lang w:eastAsia="en-AU"/>
              </w:rPr>
              <w:t xml:space="preserve"> National Heritage Landscape – </w:t>
            </w:r>
            <w:r w:rsidRPr="008268EB">
              <w:rPr>
                <w:rFonts w:ascii="Segoe UI" w:eastAsia="Calibri" w:hAnsi="Segoe UI" w:cs="Calibri"/>
                <w:szCs w:val="19"/>
                <w:lang w:eastAsia="en-AU"/>
              </w:rPr>
              <w:br/>
              <w:t>Tyrendarra Area</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Indigenous</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20/07/2004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Coranderrk</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Indigenous</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CH</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07/06/2011</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Eureka Stockade Gardens</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08/12/2004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Flora Fossil Site – Yea</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Natural</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CH, NE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11/01/2007</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Glenrowan Heritage Precinct</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05/07/2005</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Grampians National Park (</w:t>
            </w:r>
            <w:proofErr w:type="spellStart"/>
            <w:r w:rsidRPr="008268EB">
              <w:rPr>
                <w:rFonts w:ascii="Segoe UI" w:eastAsia="Calibri" w:hAnsi="Segoe UI" w:cs="Calibri"/>
                <w:szCs w:val="19"/>
                <w:lang w:eastAsia="en-AU"/>
              </w:rPr>
              <w:t>Gariwerd</w:t>
            </w:r>
            <w:proofErr w:type="spellEnd"/>
            <w:r w:rsidRPr="008268EB">
              <w:rPr>
                <w:rFonts w:ascii="Segoe UI" w:eastAsia="Calibri" w:hAnsi="Segoe UI" w:cs="Calibri"/>
                <w:szCs w:val="19"/>
                <w:lang w:eastAsia="en-AU"/>
              </w:rPr>
              <w:t>)</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Natural</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15/12/2006</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Great Ocean Road and Scenic Environs</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07/04/2011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Mount William Stone Hatchet Quarry</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Indigenous</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25/02/2008</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Murtoa No 1 Grain Store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01/10/2014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Point Cook Air Base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31/10/2007</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a</w:t>
      </w:r>
      <w:r w:rsidRPr="008268EB">
        <w:rPr>
          <w:rFonts w:ascii="Segoe UI" w:eastAsia="STZhongsong" w:hAnsi="Segoe UI" w:cs="Segoe UI"/>
          <w:bCs/>
          <w:sz w:val="18"/>
          <w:szCs w:val="18"/>
          <w:lang w:eastAsia="ko-KR"/>
        </w:rPr>
        <w:tab/>
        <w:t>RFA regions: CH – Central Highlands, EG – East Gippsland, G – Gippsland, NE – North East, W – West.</w:t>
      </w:r>
    </w:p>
    <w:bookmarkEnd w:id="117"/>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118" w:name="_Ref527451258"/>
      <w:bookmarkStart w:id="119" w:name="_Ref12873302"/>
      <w:bookmarkStart w:id="120" w:name="_Ref25513021"/>
      <w:bookmarkStart w:id="121" w:name="_Toc531002168"/>
      <w:bookmarkStart w:id="122" w:name="_Toc25660804"/>
      <w:r w:rsidRPr="008268EB">
        <w:rPr>
          <w:rFonts w:ascii="Segoe UI Semibold" w:eastAsia="Times New Roman" w:hAnsi="Segoe UI Semibold" w:cs="Times New Roman"/>
          <w:color w:val="016295"/>
        </w:rPr>
        <w:t xml:space="preserve">Table </w:t>
      </w:r>
      <w:bookmarkEnd w:id="118"/>
      <w:bookmarkEnd w:id="119"/>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20</w:t>
      </w:r>
      <w:r w:rsidRPr="008268EB">
        <w:rPr>
          <w:rFonts w:ascii="Segoe UI Semibold" w:eastAsia="Times New Roman" w:hAnsi="Segoe UI Semibold" w:cs="Times New Roman"/>
          <w:color w:val="016295"/>
        </w:rPr>
        <w:fldChar w:fldCharType="end"/>
      </w:r>
      <w:bookmarkEnd w:id="120"/>
      <w:r w:rsidRPr="008268EB">
        <w:rPr>
          <w:rFonts w:ascii="Segoe UI Semibold" w:eastAsia="Times New Roman" w:hAnsi="Segoe UI Semibold" w:cs="Times New Roman"/>
          <w:color w:val="016295"/>
        </w:rPr>
        <w:t>: Victorian Commonwealth Heritage List places</w:t>
      </w:r>
      <w:bookmarkEnd w:id="121"/>
      <w:bookmarkEnd w:id="122"/>
    </w:p>
    <w:tbl>
      <w:tblPr>
        <w:tblStyle w:val="xTable2"/>
        <w:tblW w:w="0" w:type="auto"/>
        <w:tblLayout w:type="fixed"/>
        <w:tblLook w:val="04A0" w:firstRow="1" w:lastRow="0" w:firstColumn="1" w:lastColumn="0" w:noHBand="0" w:noVBand="1"/>
      </w:tblPr>
      <w:tblGrid>
        <w:gridCol w:w="3969"/>
        <w:gridCol w:w="1701"/>
        <w:gridCol w:w="1701"/>
        <w:gridCol w:w="1701"/>
      </w:tblGrid>
      <w:tr w:rsidR="008268EB" w:rsidRPr="008268EB" w:rsidTr="007F17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969" w:type="dxa"/>
            <w:hideMark/>
          </w:tcPr>
          <w:p w:rsidR="008268EB" w:rsidRPr="008268EB" w:rsidRDefault="008268EB" w:rsidP="008268EB">
            <w:pPr>
              <w:rPr>
                <w:rFonts w:ascii="Segoe UI" w:hAnsi="Segoe UI" w:cs="Segoe UI"/>
              </w:rPr>
            </w:pPr>
            <w:r w:rsidRPr="008268EB">
              <w:rPr>
                <w:rFonts w:ascii="Segoe UI" w:hAnsi="Segoe UI" w:cs="Segoe UI"/>
              </w:rPr>
              <w:t>Name</w:t>
            </w:r>
          </w:p>
        </w:tc>
        <w:tc>
          <w:tcPr>
            <w:tcW w:w="1701"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Type</w:t>
            </w:r>
          </w:p>
        </w:tc>
        <w:tc>
          <w:tcPr>
            <w:tcW w:w="1701"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RFA region</w:t>
            </w:r>
            <w:r w:rsidRPr="008268EB">
              <w:rPr>
                <w:rFonts w:ascii="Segoe UI" w:hAnsi="Segoe UI" w:cs="Segoe UI"/>
                <w:position w:val="8"/>
              </w:rPr>
              <w:t>a</w:t>
            </w:r>
          </w:p>
        </w:tc>
        <w:tc>
          <w:tcPr>
            <w:tcW w:w="1701" w:type="dxa"/>
            <w:hideMark/>
          </w:tcPr>
          <w:p w:rsidR="008268EB" w:rsidRPr="008268EB" w:rsidRDefault="008268EB" w:rsidP="008268EB">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8268EB">
              <w:rPr>
                <w:rFonts w:ascii="Segoe UI" w:hAnsi="Segoe UI" w:cs="Segoe UI"/>
              </w:rPr>
              <w:t>Listing date</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Camperdown Post Office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08/11/2011</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Euroa Post Office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22/08/2012</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Fort Queenscliff</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Gabo Island Lighthouse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EG</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Hamilton Post Office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08/11/2011</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Leongatha Post &amp; Telegraph Office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Officers Mess – RAAF Williams Laverton Base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Point Cook Air Base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26/06/2004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 xml:space="preserve">Point Wilson Defence Natural Area </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Natural</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Puckapunyal Army Camp</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Puckapunyal Military Area</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Natural</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RAAF Williams Laverton – Eastern Hangers and West Workshops Precincts</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14/09/2009</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Stawell Post Office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Swan Island and Naval Waters</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Natural</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Swan Island Defence Precinct</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Traralgon Post Office</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w:t>
            </w:r>
          </w:p>
        </w:tc>
        <w:tc>
          <w:tcPr>
            <w:tcW w:w="1701" w:type="dxa"/>
            <w:hideMark/>
          </w:tcPr>
          <w:p w:rsidR="008268EB" w:rsidRPr="008268EB" w:rsidRDefault="008268EB" w:rsidP="008268EB">
            <w:pP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08/11/2011</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rsidR="008268EB" w:rsidRPr="008268EB" w:rsidRDefault="008268EB" w:rsidP="008268EB">
            <w:pPr>
              <w:rPr>
                <w:rFonts w:ascii="Segoe UI" w:eastAsia="Calibri" w:hAnsi="Segoe UI" w:cs="Calibri"/>
                <w:szCs w:val="19"/>
                <w:lang w:eastAsia="en-AU"/>
              </w:rPr>
            </w:pPr>
            <w:r w:rsidRPr="008268EB">
              <w:rPr>
                <w:rFonts w:ascii="Segoe UI" w:eastAsia="Calibri" w:hAnsi="Segoe UI" w:cs="Calibri"/>
                <w:szCs w:val="19"/>
                <w:lang w:eastAsia="en-AU"/>
              </w:rPr>
              <w:t>Wilsons Promontory Lighthouse</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Historic</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w:t>
            </w:r>
          </w:p>
        </w:tc>
        <w:tc>
          <w:tcPr>
            <w:tcW w:w="1701" w:type="dxa"/>
            <w:hideMark/>
          </w:tcPr>
          <w:p w:rsidR="008268EB" w:rsidRPr="008268EB" w:rsidRDefault="008268EB" w:rsidP="008268EB">
            <w:pP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22/06/2004</w:t>
            </w:r>
          </w:p>
        </w:tc>
      </w:tr>
    </w:tbl>
    <w:p w:rsidR="008268EB" w:rsidRPr="008268EB" w:rsidRDefault="008268EB" w:rsidP="008268EB">
      <w:pPr>
        <w:tabs>
          <w:tab w:val="left" w:pos="426"/>
        </w:tabs>
        <w:spacing w:before="80"/>
        <w:contextualSpacing/>
        <w:rPr>
          <w:rFonts w:ascii="Segoe UI" w:eastAsia="STZhongsong" w:hAnsi="Segoe UI" w:cs="Segoe UI"/>
          <w:bCs/>
          <w:sz w:val="18"/>
          <w:szCs w:val="18"/>
          <w:lang w:eastAsia="ko-KR"/>
        </w:rPr>
      </w:pPr>
      <w:bookmarkStart w:id="123" w:name="_Hlk12874112"/>
      <w:r w:rsidRPr="008268EB">
        <w:rPr>
          <w:rFonts w:ascii="Segoe UI" w:eastAsia="STZhongsong" w:hAnsi="Segoe UI" w:cs="Segoe UI"/>
          <w:bCs/>
          <w:sz w:val="18"/>
          <w:szCs w:val="18"/>
          <w:lang w:eastAsia="ko-KR"/>
        </w:rPr>
        <w:t>a</w:t>
      </w:r>
      <w:r w:rsidRPr="008268EB">
        <w:rPr>
          <w:rFonts w:ascii="Segoe UI" w:eastAsia="STZhongsong" w:hAnsi="Segoe UI" w:cs="Segoe UI"/>
          <w:bCs/>
          <w:sz w:val="18"/>
          <w:szCs w:val="18"/>
          <w:lang w:eastAsia="ko-KR"/>
        </w:rPr>
        <w:tab/>
        <w:t>RFA Regions: CH – Central Highlands, EG – East Gippsland, G – Gippsland, NE – North East, W – West.</w:t>
      </w:r>
    </w:p>
    <w:bookmarkEnd w:id="123"/>
    <w:p w:rsidR="008268EB" w:rsidRPr="008268EB" w:rsidRDefault="008268EB" w:rsidP="008268EB">
      <w:pPr>
        <w:jc w:val="both"/>
        <w:rPr>
          <w:rFonts w:ascii="Segoe UI" w:hAnsi="Segoe UI" w:cs="Segoe UI"/>
        </w:rPr>
      </w:pPr>
      <w:r w:rsidRPr="008268EB">
        <w:rPr>
          <w:rFonts w:ascii="Segoe UI" w:hAnsi="Segoe UI" w:cs="Segoe UI"/>
        </w:rPr>
        <w:t>Victoria’s (non-Indigenous) heritage assets are listed in the Victorian Heritage Register</w:t>
      </w:r>
      <w:r w:rsidRPr="008268EB">
        <w:rPr>
          <w:rFonts w:ascii="Segoe UI" w:hAnsi="Segoe UI" w:cs="Segoe UI"/>
          <w:vertAlign w:val="superscript"/>
        </w:rPr>
        <w:footnoteReference w:id="13"/>
      </w:r>
      <w:r w:rsidRPr="008268EB">
        <w:rPr>
          <w:rFonts w:ascii="Segoe UI" w:hAnsi="Segoe UI" w:cs="Segoe UI"/>
        </w:rPr>
        <w:t xml:space="preserve"> and Heritage Inventory database. Those assets occurring in RFA regions are listed in </w:t>
      </w:r>
      <w:r w:rsidRPr="008268EB">
        <w:rPr>
          <w:rFonts w:ascii="Segoe UI" w:hAnsi="Segoe UI" w:cs="Segoe UI"/>
        </w:rPr>
        <w:fldChar w:fldCharType="begin"/>
      </w:r>
      <w:r w:rsidRPr="008268EB">
        <w:rPr>
          <w:rFonts w:ascii="Segoe UI" w:hAnsi="Segoe UI" w:cs="Segoe UI"/>
        </w:rPr>
        <w:instrText xml:space="preserve"> REF _Ref21356527 \h </w:instrText>
      </w:r>
      <w:r w:rsidRPr="008268EB">
        <w:rPr>
          <w:rFonts w:ascii="Segoe UI" w:hAnsi="Segoe UI" w:cs="Segoe UI"/>
        </w:rPr>
      </w:r>
      <w:r w:rsidRPr="008268EB">
        <w:rPr>
          <w:rFonts w:ascii="Segoe UI" w:hAnsi="Segoe UI" w:cs="Segoe UI"/>
        </w:rPr>
        <w:fldChar w:fldCharType="separate"/>
      </w:r>
      <w:r w:rsidRPr="008268EB">
        <w:rPr>
          <w:rFonts w:ascii="Segoe UI" w:hAnsi="Segoe UI" w:cs="Segoe UI"/>
        </w:rPr>
        <w:t xml:space="preserve">Table </w:t>
      </w:r>
      <w:r w:rsidRPr="008268EB">
        <w:rPr>
          <w:rFonts w:ascii="Segoe UI" w:hAnsi="Segoe UI" w:cs="Segoe UI"/>
          <w:noProof/>
        </w:rPr>
        <w:t>21</w:t>
      </w:r>
      <w:r w:rsidRPr="008268EB">
        <w:rPr>
          <w:rFonts w:ascii="Segoe UI" w:hAnsi="Segoe UI" w:cs="Segoe UI"/>
        </w:rPr>
        <w:fldChar w:fldCharType="end"/>
      </w:r>
      <w:r w:rsidRPr="008268EB">
        <w:rPr>
          <w:rFonts w:ascii="Segoe UI" w:hAnsi="Segoe UI" w:cs="Segoe UI"/>
        </w:rPr>
        <w:t>.</w:t>
      </w:r>
    </w:p>
    <w:p w:rsidR="008268EB" w:rsidRPr="008268EB" w:rsidRDefault="008268EB" w:rsidP="008268EB">
      <w:pPr>
        <w:rPr>
          <w:rFonts w:ascii="Segoe UI" w:hAnsi="Segoe UI" w:cs="Segoe UI"/>
        </w:rPr>
      </w:pPr>
      <w:r w:rsidRPr="008268EB">
        <w:rPr>
          <w:rFonts w:ascii="Segoe UI" w:hAnsi="Segoe UI" w:cs="Segoe UI"/>
        </w:rPr>
        <w:br w:type="page"/>
      </w:r>
    </w:p>
    <w:p w:rsidR="008268EB" w:rsidRPr="008268EB" w:rsidRDefault="008268EB" w:rsidP="008268EB">
      <w:pPr>
        <w:spacing w:after="200" w:line="240" w:lineRule="auto"/>
        <w:rPr>
          <w:rFonts w:ascii="Segoe UI Semibold" w:eastAsia="Times New Roman" w:hAnsi="Segoe UI Semibold" w:cs="Times New Roman"/>
          <w:color w:val="016295"/>
        </w:rPr>
      </w:pPr>
      <w:bookmarkStart w:id="124" w:name="_Ref14190924"/>
      <w:bookmarkStart w:id="125" w:name="_Ref21356527"/>
      <w:bookmarkStart w:id="126" w:name="_Toc25660805"/>
      <w:r w:rsidRPr="008268EB">
        <w:rPr>
          <w:rFonts w:ascii="Segoe UI Semibold" w:eastAsia="Times New Roman" w:hAnsi="Segoe UI Semibold" w:cs="Times New Roman"/>
          <w:color w:val="016295"/>
        </w:rPr>
        <w:t xml:space="preserve">Table </w:t>
      </w:r>
      <w:bookmarkEnd w:id="124"/>
      <w:r w:rsidRPr="008268EB">
        <w:rPr>
          <w:rFonts w:ascii="Segoe UI Semibold" w:eastAsia="Times New Roman" w:hAnsi="Segoe UI Semibold" w:cs="Times New Roman"/>
          <w:color w:val="016295"/>
        </w:rPr>
        <w:fldChar w:fldCharType="begin"/>
      </w:r>
      <w:r w:rsidRPr="008268EB">
        <w:rPr>
          <w:rFonts w:ascii="Segoe UI Semibold" w:eastAsia="Times New Roman" w:hAnsi="Segoe UI Semibold" w:cs="Times New Roman"/>
          <w:color w:val="016295"/>
        </w:rPr>
        <w:instrText xml:space="preserve"> SEQ Table \* ARABIC </w:instrText>
      </w:r>
      <w:r w:rsidRPr="008268EB">
        <w:rPr>
          <w:rFonts w:ascii="Segoe UI Semibold" w:eastAsia="Times New Roman" w:hAnsi="Segoe UI Semibold" w:cs="Times New Roman"/>
          <w:color w:val="016295"/>
        </w:rPr>
        <w:fldChar w:fldCharType="separate"/>
      </w:r>
      <w:r w:rsidRPr="008268EB">
        <w:rPr>
          <w:rFonts w:ascii="Segoe UI Semibold" w:eastAsia="Times New Roman" w:hAnsi="Segoe UI Semibold" w:cs="Times New Roman"/>
          <w:noProof/>
          <w:color w:val="016295"/>
        </w:rPr>
        <w:t>21</w:t>
      </w:r>
      <w:r w:rsidRPr="008268EB">
        <w:rPr>
          <w:rFonts w:ascii="Segoe UI Semibold" w:eastAsia="Times New Roman" w:hAnsi="Segoe UI Semibold" w:cs="Times New Roman"/>
          <w:color w:val="016295"/>
        </w:rPr>
        <w:fldChar w:fldCharType="end"/>
      </w:r>
      <w:bookmarkEnd w:id="125"/>
      <w:r w:rsidRPr="008268EB">
        <w:rPr>
          <w:rFonts w:ascii="Segoe UI Semibold" w:eastAsia="Times New Roman" w:hAnsi="Segoe UI Semibold" w:cs="Times New Roman"/>
          <w:color w:val="016295"/>
        </w:rPr>
        <w:t>: Number of Historic places, according to type across RFA regions</w:t>
      </w:r>
      <w:bookmarkEnd w:id="126"/>
    </w:p>
    <w:tbl>
      <w:tblPr>
        <w:tblStyle w:val="xTable1"/>
        <w:tblW w:w="7517" w:type="dxa"/>
        <w:tblLayout w:type="fixed"/>
        <w:tblLook w:val="04A0" w:firstRow="1" w:lastRow="0" w:firstColumn="1" w:lastColumn="0" w:noHBand="0" w:noVBand="1"/>
      </w:tblPr>
      <w:tblGrid>
        <w:gridCol w:w="2835"/>
        <w:gridCol w:w="2336"/>
        <w:gridCol w:w="2336"/>
        <w:gridCol w:w="10"/>
      </w:tblGrid>
      <w:tr w:rsidR="008268EB" w:rsidRPr="008268EB" w:rsidTr="007F17A0">
        <w:trPr>
          <w:gridAfter w:val="1"/>
          <w:cnfStyle w:val="100000000000" w:firstRow="1" w:lastRow="0" w:firstColumn="0" w:lastColumn="0" w:oddVBand="0" w:evenVBand="0" w:oddHBand="0" w:evenHBand="0" w:firstRowFirstColumn="0" w:firstRowLastColumn="0" w:lastRowFirstColumn="0" w:lastRowLastColumn="0"/>
          <w:wAfter w:w="10" w:type="dxa"/>
          <w:trHeight w:val="340"/>
          <w:tblHeader/>
        </w:trPr>
        <w:tc>
          <w:tcPr>
            <w:cnfStyle w:val="001000000100" w:firstRow="0" w:lastRow="0" w:firstColumn="1" w:lastColumn="0" w:oddVBand="0" w:evenVBand="0" w:oddHBand="0" w:evenHBand="0" w:firstRowFirstColumn="1" w:firstRowLastColumn="0" w:lastRowFirstColumn="0" w:lastRowLastColumn="0"/>
            <w:tcW w:w="2835" w:type="dxa"/>
            <w:tcBorders>
              <w:top w:val="single" w:sz="8" w:space="0" w:color="FFFFFF"/>
              <w:left w:val="single" w:sz="8" w:space="0" w:color="FFFFFF"/>
              <w:bottom w:val="single" w:sz="8" w:space="0" w:color="FFFFFF"/>
              <w:right w:val="single" w:sz="8" w:space="0" w:color="FFFFFF"/>
            </w:tcBorders>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Historic place type</w:t>
            </w:r>
          </w:p>
        </w:tc>
        <w:tc>
          <w:tcPr>
            <w:tcW w:w="0" w:type="dxa"/>
            <w:tcBorders>
              <w:top w:val="single" w:sz="8" w:space="0" w:color="FFFFFF"/>
              <w:left w:val="single" w:sz="8" w:space="0" w:color="FFFFFF"/>
              <w:bottom w:val="single" w:sz="8" w:space="0" w:color="FFFFFF"/>
              <w:right w:val="single" w:sz="8" w:space="0" w:color="FFFFFF"/>
            </w:tcBorders>
          </w:tcPr>
          <w:p w:rsidR="008268EB" w:rsidRPr="008268EB" w:rsidRDefault="008268EB" w:rsidP="008268EB">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bCs/>
                <w:szCs w:val="19"/>
                <w:lang w:eastAsia="en-AU"/>
              </w:rPr>
              <w:t xml:space="preserve">No. of </w:t>
            </w:r>
            <w:r w:rsidRPr="008268EB">
              <w:rPr>
                <w:rFonts w:ascii="Segoe UI" w:eastAsia="Calibri" w:hAnsi="Segoe UI" w:cs="Calibri"/>
                <w:szCs w:val="19"/>
                <w:lang w:eastAsia="en-AU"/>
              </w:rPr>
              <w:t>h</w:t>
            </w:r>
            <w:r w:rsidRPr="008268EB">
              <w:rPr>
                <w:rFonts w:ascii="Segoe UI" w:eastAsia="Calibri" w:hAnsi="Segoe UI" w:cs="Calibri"/>
                <w:bCs/>
                <w:szCs w:val="19"/>
                <w:lang w:eastAsia="en-AU"/>
              </w:rPr>
              <w:t>istoric places</w:t>
            </w:r>
          </w:p>
        </w:tc>
        <w:tc>
          <w:tcPr>
            <w:tcW w:w="0" w:type="dxa"/>
            <w:tcBorders>
              <w:top w:val="single" w:sz="8" w:space="0" w:color="FFFFFF"/>
              <w:left w:val="single" w:sz="8" w:space="0" w:color="FFFFFF"/>
              <w:bottom w:val="single" w:sz="8" w:space="0" w:color="FFFFFF"/>
              <w:right w:val="single" w:sz="8" w:space="0" w:color="FFFFFF"/>
            </w:tcBorders>
          </w:tcPr>
          <w:p w:rsidR="008268EB" w:rsidRPr="008268EB" w:rsidRDefault="008268EB" w:rsidP="008268EB">
            <w:pPr>
              <w:spacing w:after="0" w:line="240" w:lineRule="auto"/>
              <w:cnfStyle w:val="100000000000" w:firstRow="1" w:lastRow="0" w:firstColumn="0" w:lastColumn="0" w:oddVBand="0" w:evenVBand="0" w:oddHBand="0"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bCs/>
                <w:szCs w:val="19"/>
                <w:lang w:eastAsia="en-AU"/>
              </w:rPr>
              <w:t>RFA</w:t>
            </w:r>
            <w:r w:rsidRPr="008268EB">
              <w:rPr>
                <w:rFonts w:ascii="Segoe UI" w:eastAsia="Calibri" w:hAnsi="Segoe UI" w:cs="Calibri"/>
                <w:szCs w:val="19"/>
                <w:lang w:eastAsia="en-AU"/>
              </w:rPr>
              <w:t xml:space="preserve"> region</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Air Transport</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Cemeteries and Burial Sites</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21</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24</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111</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Community Facilities</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Education</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118</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Exploration Survey Events</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39</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14</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Farming and Grazing</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21</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92</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45</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87</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Finance</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Forestry and Timber</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39</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125</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1,006</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88</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323</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Government and Administration</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Health Services</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13</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Hotels and Motor Inns</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24</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27</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12</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Indigenous</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Landscape</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Law and Enforcement</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51</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Manufacturing and Processing</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Maritime Industry</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25</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Military</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Mining and Mineral Processing</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56</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514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524</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439</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588</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Monuments and Memorials</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153</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Parks, Gardens and Trees</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10</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23</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Postal and Telecommunication</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Public Utilities</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35</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15</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13</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Rail Transport</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18</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26</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25</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77</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Recreation and Entertainment</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35</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44</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99</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Religious</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Residential</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132</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120</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32</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38</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Retail and Wholesale</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Road Transport</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13</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84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Scientific Facilities</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2</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Shipwrecks</w:t>
            </w: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16</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5</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14</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Unspecified</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gridAfter w:val="1"/>
          <w:cnfStyle w:val="000000100000" w:firstRow="0" w:lastRow="0" w:firstColumn="0" w:lastColumn="0" w:oddVBand="0" w:evenVBand="0" w:oddHBand="1" w:evenHBand="0"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3</w:t>
            </w:r>
          </w:p>
        </w:tc>
        <w:tc>
          <w:tcPr>
            <w:tcW w:w="2336" w:type="dxa"/>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North East</w:t>
            </w:r>
          </w:p>
        </w:tc>
      </w:tr>
      <w:tr w:rsidR="008268EB" w:rsidRPr="008268EB" w:rsidTr="007F17A0">
        <w:trPr>
          <w:gridAfter w:val="1"/>
          <w:cnfStyle w:val="000000010000" w:firstRow="0" w:lastRow="0" w:firstColumn="0" w:lastColumn="0" w:oddVBand="0" w:evenVBand="0" w:oddHBand="0" w:evenHBand="1" w:firstRowFirstColumn="0" w:firstRowLastColumn="0" w:lastRowFirstColumn="0" w:lastRowLastColumn="0"/>
          <w:wAfter w:w="10" w:type="dxa"/>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after="0" w:line="240" w:lineRule="auto"/>
              <w:rPr>
                <w:rFonts w:ascii="Segoe UI" w:eastAsia="Calibri" w:hAnsi="Segoe UI" w:cs="Calibri"/>
                <w:szCs w:val="19"/>
                <w:lang w:eastAsia="en-AU"/>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49</w:t>
            </w:r>
          </w:p>
        </w:tc>
        <w:tc>
          <w:tcPr>
            <w:tcW w:w="2336" w:type="dxa"/>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8268EB" w:rsidRPr="008268EB" w:rsidRDefault="008268EB" w:rsidP="008268EB">
            <w:pPr>
              <w:spacing w:after="0" w:line="240" w:lineRule="auto"/>
              <w:rPr>
                <w:rFonts w:ascii="Segoe UI" w:eastAsia="Calibri" w:hAnsi="Segoe UI" w:cs="Calibri"/>
                <w:szCs w:val="19"/>
                <w:lang w:eastAsia="en-AU"/>
              </w:rPr>
            </w:pPr>
            <w:r w:rsidRPr="008268EB">
              <w:rPr>
                <w:rFonts w:ascii="Segoe UI" w:eastAsia="Calibri" w:hAnsi="Segoe UI" w:cs="Calibri"/>
                <w:szCs w:val="19"/>
                <w:lang w:eastAsia="en-AU"/>
              </w:rPr>
              <w:t>Water Transport</w:t>
            </w: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6</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East Gippsland</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line="0" w:lineRule="atLeast"/>
              <w:rPr>
                <w:rFonts w:ascii="Segoe UI" w:hAnsi="Segoe UI" w:cs="Segoe UI"/>
                <w:sz w:val="16"/>
                <w:szCs w:val="16"/>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Gippsland</w:t>
            </w:r>
          </w:p>
        </w:tc>
      </w:tr>
      <w:tr w:rsidR="008268EB" w:rsidRPr="008268EB" w:rsidTr="007F17A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line="0" w:lineRule="atLeast"/>
              <w:rPr>
                <w:rFonts w:ascii="Segoe UI" w:hAnsi="Segoe UI" w:cs="Segoe UI"/>
                <w:sz w:val="16"/>
                <w:szCs w:val="16"/>
              </w:rPr>
            </w:pPr>
          </w:p>
        </w:tc>
        <w:tc>
          <w:tcPr>
            <w:tcW w:w="2336" w:type="dxa"/>
          </w:tcPr>
          <w:p w:rsidR="008268EB" w:rsidRPr="008268EB" w:rsidRDefault="008268EB" w:rsidP="00826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1</w:t>
            </w:r>
          </w:p>
        </w:tc>
        <w:tc>
          <w:tcPr>
            <w:tcW w:w="2346" w:type="dxa"/>
            <w:gridSpan w:val="2"/>
          </w:tcPr>
          <w:p w:rsidR="008268EB" w:rsidRPr="008268EB" w:rsidRDefault="008268EB" w:rsidP="008268EB">
            <w:pPr>
              <w:spacing w:after="0" w:line="240" w:lineRule="auto"/>
              <w:cnfStyle w:val="000000100000" w:firstRow="0" w:lastRow="0" w:firstColumn="0" w:lastColumn="0" w:oddVBand="0" w:evenVBand="0" w:oddHBand="1" w:evenHBand="0"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Central Highlands</w:t>
            </w:r>
          </w:p>
        </w:tc>
      </w:tr>
      <w:tr w:rsidR="008268EB" w:rsidRPr="008268EB" w:rsidTr="007F17A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35" w:type="dxa"/>
            <w:vMerge/>
          </w:tcPr>
          <w:p w:rsidR="008268EB" w:rsidRPr="008268EB" w:rsidRDefault="008268EB" w:rsidP="008268EB">
            <w:pPr>
              <w:spacing w:line="0" w:lineRule="atLeast"/>
              <w:rPr>
                <w:rFonts w:ascii="Segoe UI" w:hAnsi="Segoe UI" w:cs="Segoe UI"/>
                <w:sz w:val="16"/>
                <w:szCs w:val="16"/>
              </w:rPr>
            </w:pPr>
          </w:p>
        </w:tc>
        <w:tc>
          <w:tcPr>
            <w:tcW w:w="2336" w:type="dxa"/>
          </w:tcPr>
          <w:p w:rsidR="008268EB" w:rsidRPr="008268EB" w:rsidRDefault="008268EB" w:rsidP="008268E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73</w:t>
            </w:r>
          </w:p>
        </w:tc>
        <w:tc>
          <w:tcPr>
            <w:tcW w:w="2346" w:type="dxa"/>
            <w:gridSpan w:val="2"/>
          </w:tcPr>
          <w:p w:rsidR="008268EB" w:rsidRPr="008268EB" w:rsidRDefault="008268EB" w:rsidP="008268EB">
            <w:pPr>
              <w:spacing w:after="0" w:line="240" w:lineRule="auto"/>
              <w:cnfStyle w:val="000000010000" w:firstRow="0" w:lastRow="0" w:firstColumn="0" w:lastColumn="0" w:oddVBand="0" w:evenVBand="0" w:oddHBand="0" w:evenHBand="1" w:firstRowFirstColumn="0" w:firstRowLastColumn="0" w:lastRowFirstColumn="0" w:lastRowLastColumn="0"/>
              <w:rPr>
                <w:rFonts w:ascii="Segoe UI" w:eastAsia="Calibri" w:hAnsi="Segoe UI" w:cs="Calibri"/>
                <w:szCs w:val="19"/>
                <w:lang w:eastAsia="en-AU"/>
              </w:rPr>
            </w:pPr>
            <w:r w:rsidRPr="008268EB">
              <w:rPr>
                <w:rFonts w:ascii="Segoe UI" w:eastAsia="Calibri" w:hAnsi="Segoe UI" w:cs="Calibri"/>
                <w:szCs w:val="19"/>
                <w:lang w:eastAsia="en-AU"/>
              </w:rPr>
              <w:t>West</w:t>
            </w:r>
          </w:p>
        </w:tc>
      </w:tr>
    </w:tbl>
    <w:p w:rsidR="008268EB" w:rsidRPr="008268EB" w:rsidRDefault="008268EB" w:rsidP="008268EB">
      <w:pPr>
        <w:spacing w:before="80"/>
        <w:rPr>
          <w:rFonts w:ascii="Segoe UI" w:eastAsia="STZhongsong" w:hAnsi="Segoe UI" w:cs="Segoe UI"/>
          <w:bCs/>
          <w:sz w:val="18"/>
          <w:szCs w:val="18"/>
          <w:lang w:eastAsia="ko-KR"/>
        </w:rPr>
      </w:pPr>
      <w:r w:rsidRPr="008268EB">
        <w:rPr>
          <w:rFonts w:ascii="Segoe UI" w:eastAsia="STZhongsong" w:hAnsi="Segoe UI" w:cs="Segoe UI"/>
          <w:bCs/>
          <w:sz w:val="18"/>
          <w:szCs w:val="18"/>
          <w:lang w:eastAsia="ko-KR"/>
        </w:rPr>
        <w:t>Source: Victorian Heritage Register and Heritage Inventory database (accessed May 2019).</w:t>
      </w:r>
    </w:p>
    <w:p w:rsidR="008268EB" w:rsidRPr="008268EB" w:rsidRDefault="008268EB" w:rsidP="008268EB">
      <w:pPr>
        <w:keepNext/>
        <w:keepLines/>
        <w:spacing w:before="40" w:after="40"/>
        <w:outlineLvl w:val="4"/>
        <w:rPr>
          <w:rFonts w:ascii="Segoe UI" w:eastAsia="STZhongsong" w:hAnsi="Segoe UI" w:cs="Majalla UI"/>
          <w:i/>
          <w:color w:val="13345C"/>
          <w:lang w:eastAsia="en-AU"/>
        </w:rPr>
      </w:pPr>
      <w:r w:rsidRPr="008268EB">
        <w:rPr>
          <w:rFonts w:ascii="Segoe UI" w:eastAsia="STZhongsong" w:hAnsi="Segoe UI" w:cs="Majalla UI"/>
          <w:i/>
          <w:color w:val="13345C"/>
          <w:lang w:eastAsia="en-AU"/>
        </w:rPr>
        <w:t>Case study: a vision for the future at Lake Condah</w:t>
      </w:r>
    </w:p>
    <w:p w:rsidR="008268EB" w:rsidRPr="008268EB" w:rsidRDefault="008268EB" w:rsidP="008268EB">
      <w:pPr>
        <w:jc w:val="both"/>
        <w:rPr>
          <w:rFonts w:ascii="Segoe UI" w:hAnsi="Segoe UI" w:cs="Segoe UI"/>
        </w:rPr>
      </w:pP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is one of the large-scale restoration projects in Victoria made possible through the Victorian Government’s $222 million investment into waterway and catchment health. The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National Heritage Landscape was created by volcanic lava flow and is sacred to the Gunditjmara people. It extends from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(formerly Mt Eccles) to the ocean and encompasses a series of waterways including Lake Condah and the Fitzroy River.</w:t>
      </w:r>
    </w:p>
    <w:p w:rsidR="008268EB" w:rsidRPr="008268EB" w:rsidRDefault="008268EB" w:rsidP="008268EB">
      <w:pPr>
        <w:jc w:val="both"/>
        <w:rPr>
          <w:rFonts w:ascii="Segoe UI" w:hAnsi="Segoe UI" w:cs="Segoe UI"/>
        </w:rPr>
      </w:pPr>
      <w:r w:rsidRPr="008268EB">
        <w:rPr>
          <w:rFonts w:ascii="Segoe UI" w:hAnsi="Segoe UI" w:cs="Segoe UI"/>
        </w:rPr>
        <w:t xml:space="preserve">Lake Condah, or Tae </w:t>
      </w:r>
      <w:proofErr w:type="spellStart"/>
      <w:r w:rsidRPr="008268EB">
        <w:rPr>
          <w:rFonts w:ascii="Segoe UI" w:hAnsi="Segoe UI" w:cs="Segoe UI"/>
        </w:rPr>
        <w:t>Rak</w:t>
      </w:r>
      <w:proofErr w:type="spellEnd"/>
      <w:r w:rsidRPr="008268EB">
        <w:rPr>
          <w:rFonts w:ascii="Segoe UI" w:hAnsi="Segoe UI" w:cs="Segoe UI"/>
        </w:rPr>
        <w:t xml:space="preserve">, as it is traditionally known, is part of the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National Heritage Landscape listed in 2004. The Gunditjmara people likened the seasonal rising and falling of water in Tae </w:t>
      </w:r>
      <w:proofErr w:type="spellStart"/>
      <w:r w:rsidRPr="008268EB">
        <w:rPr>
          <w:rFonts w:ascii="Segoe UI" w:hAnsi="Segoe UI" w:cs="Segoe UI"/>
        </w:rPr>
        <w:t>Rak</w:t>
      </w:r>
      <w:proofErr w:type="spellEnd"/>
      <w:r w:rsidRPr="008268EB">
        <w:rPr>
          <w:rFonts w:ascii="Segoe UI" w:hAnsi="Segoe UI" w:cs="Segoe UI"/>
        </w:rPr>
        <w:t xml:space="preserve"> to the beating heart of the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landscape. The stone eel-trap systems used by the Gunditjmara for thousands of years are the oldest example of freshwater aquaculture in the world. This had allowed the landscape to be recognised as an internationally significant site. </w:t>
      </w:r>
      <w:r w:rsidRPr="008268EB">
        <w:rPr>
          <w:rFonts w:ascii="Arial" w:hAnsi="Arial" w:cs="Arial"/>
          <w:color w:val="000000"/>
          <w:sz w:val="20"/>
          <w:szCs w:val="20"/>
          <w:shd w:val="clear" w:color="auto" w:fill="F7F7F7"/>
        </w:rPr>
        <w:t xml:space="preserve"> </w:t>
      </w:r>
    </w:p>
    <w:p w:rsidR="008268EB" w:rsidRPr="008268EB" w:rsidRDefault="008268EB" w:rsidP="008268EB">
      <w:pPr>
        <w:jc w:val="both"/>
        <w:rPr>
          <w:rFonts w:ascii="Segoe UI" w:hAnsi="Segoe UI" w:cs="Segoe UI"/>
        </w:rPr>
      </w:pPr>
      <w:r w:rsidRPr="008268EB">
        <w:rPr>
          <w:rFonts w:ascii="Segoe UI" w:hAnsi="Segoe UI" w:cs="Segoe UI"/>
        </w:rPr>
        <w:t xml:space="preserve">The construction of a rural drainage scheme in 1954 damaged this culturally important place. After many attempts to restore this landscape, spanning 40 years, a weir constructed in 2010 rehabilitated the lake. This helped to bring healing to the Gunditjmara cultural values of the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landscape. A key part of the weir construction was the promotion of Aboriginal employment. The Australian Government provided resources to support the employment of local Gunditjmara and other Aboriginal and Torres Strait Islander people on the construction team. Training was also provided to local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rangers to manage the land around the lake. Reactivation of the eel-trap systems now provides commercial opportunities along the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landscape and at Lake Condah through cultural tourism. The Traditional Owners have expressed plans to build an eel-processing facility for a dual economic and educational purpose.</w:t>
      </w:r>
    </w:p>
    <w:p w:rsidR="008268EB" w:rsidRDefault="008268EB" w:rsidP="008268EB">
      <w:pPr>
        <w:jc w:val="both"/>
        <w:rPr>
          <w:rFonts w:ascii="Segoe UI" w:hAnsi="Segoe UI" w:cs="Segoe UI"/>
        </w:rPr>
      </w:pPr>
      <w:r w:rsidRPr="008268EB">
        <w:rPr>
          <w:rFonts w:ascii="Segoe UI" w:hAnsi="Segoe UI" w:cs="Segoe UI"/>
        </w:rPr>
        <w:t xml:space="preserve">The </w:t>
      </w:r>
      <w:proofErr w:type="spellStart"/>
      <w:r w:rsidRPr="008268EB">
        <w:rPr>
          <w:rFonts w:ascii="Segoe UI" w:hAnsi="Segoe UI" w:cs="Segoe UI"/>
        </w:rPr>
        <w:t>Gunditj</w:t>
      </w:r>
      <w:proofErr w:type="spellEnd"/>
      <w:r w:rsidRPr="008268EB">
        <w:rPr>
          <w:rFonts w:ascii="Segoe UI" w:hAnsi="Segoe UI" w:cs="Segoe UI"/>
        </w:rPr>
        <w:t xml:space="preserve"> Mirring Traditional Owners Aboriginal Corporation has succeeded in getting the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Cultural Landscape, of which Lake Condah is a part, recognised by UNESCO’s World Heritage Register. </w:t>
      </w:r>
      <w:proofErr w:type="spellStart"/>
      <w:r w:rsidRPr="008268EB">
        <w:rPr>
          <w:rFonts w:ascii="Segoe UI" w:hAnsi="Segoe UI" w:cs="Segoe UI"/>
        </w:rPr>
        <w:t>Budj</w:t>
      </w:r>
      <w:proofErr w:type="spellEnd"/>
      <w:r w:rsidRPr="008268EB">
        <w:rPr>
          <w:rFonts w:ascii="Segoe UI" w:hAnsi="Segoe UI" w:cs="Segoe UI"/>
        </w:rPr>
        <w:t xml:space="preserve"> </w:t>
      </w:r>
      <w:proofErr w:type="spellStart"/>
      <w:r w:rsidRPr="008268EB">
        <w:rPr>
          <w:rFonts w:ascii="Segoe UI" w:hAnsi="Segoe UI" w:cs="Segoe UI"/>
        </w:rPr>
        <w:t>Bim</w:t>
      </w:r>
      <w:proofErr w:type="spellEnd"/>
      <w:r w:rsidRPr="008268EB">
        <w:rPr>
          <w:rFonts w:ascii="Segoe UI" w:hAnsi="Segoe UI" w:cs="Segoe UI"/>
        </w:rPr>
        <w:t xml:space="preserve"> Cultural Landscape, located in the West Victoria RFA region, was inscribed on the World Heritage List on 6 July 2019; this is the first time an Australian site has been recognised exclusively for its Aboriginal cultural values. </w:t>
      </w: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Default="00896E96" w:rsidP="008268EB">
      <w:pPr>
        <w:jc w:val="both"/>
        <w:rPr>
          <w:rFonts w:ascii="Segoe UI" w:hAnsi="Segoe UI" w:cs="Segoe UI"/>
        </w:rPr>
      </w:pPr>
    </w:p>
    <w:p w:rsidR="00896E96" w:rsidRPr="00FA57C5" w:rsidRDefault="00896E96" w:rsidP="00896E96">
      <w:pPr>
        <w:spacing w:before="360" w:after="240" w:line="440" w:lineRule="atLeast"/>
        <w:outlineLvl w:val="1"/>
        <w:rPr>
          <w:rFonts w:ascii="Segoe UI" w:hAnsi="Segoe UI" w:cs="Segoe UI"/>
          <w:b/>
          <w:color w:val="0074A1"/>
          <w:sz w:val="32"/>
          <w:szCs w:val="32"/>
        </w:rPr>
      </w:pPr>
      <w:bookmarkStart w:id="127" w:name="_Toc524952790"/>
      <w:bookmarkStart w:id="128" w:name="_Toc531002083"/>
      <w:bookmarkStart w:id="129" w:name="_Toc11768304"/>
      <w:bookmarkStart w:id="130" w:name="_Toc30491986"/>
      <w:bookmarkStart w:id="131" w:name="_Toc33002083"/>
      <w:r w:rsidRPr="00FA57C5">
        <w:rPr>
          <w:rFonts w:ascii="Segoe UI" w:hAnsi="Segoe UI" w:cs="Segoe UI"/>
          <w:b/>
          <w:color w:val="0074A1"/>
          <w:sz w:val="32"/>
          <w:szCs w:val="32"/>
        </w:rPr>
        <w:t>World Heritage values</w:t>
      </w:r>
      <w:bookmarkEnd w:id="127"/>
      <w:bookmarkEnd w:id="128"/>
      <w:bookmarkEnd w:id="129"/>
      <w:bookmarkEnd w:id="130"/>
      <w:bookmarkEnd w:id="131"/>
    </w:p>
    <w:p w:rsidR="00896E96" w:rsidRPr="00FA57C5" w:rsidRDefault="00896E96" w:rsidP="00896E96">
      <w:pPr>
        <w:jc w:val="both"/>
        <w:rPr>
          <w:rFonts w:ascii="Segoe UI" w:hAnsi="Segoe UI" w:cs="Segoe UI"/>
        </w:rPr>
      </w:pPr>
      <w:r w:rsidRPr="00FA57C5">
        <w:rPr>
          <w:rFonts w:ascii="Segoe UI" w:hAnsi="Segoe UI" w:cs="Segoe UI"/>
        </w:rPr>
        <w:t xml:space="preserve">There is one World Heritage property located within the Victorian RFA regions: </w:t>
      </w:r>
      <w:proofErr w:type="spellStart"/>
      <w:r w:rsidRPr="00FA57C5">
        <w:rPr>
          <w:rFonts w:ascii="Segoe UI" w:hAnsi="Segoe UI" w:cs="Segoe UI"/>
        </w:rPr>
        <w:t>Budj</w:t>
      </w:r>
      <w:proofErr w:type="spellEnd"/>
      <w:r w:rsidRPr="00FA57C5">
        <w:rPr>
          <w:rFonts w:ascii="Segoe UI" w:hAnsi="Segoe UI" w:cs="Segoe UI"/>
        </w:rPr>
        <w:t xml:space="preserve"> </w:t>
      </w:r>
      <w:proofErr w:type="spellStart"/>
      <w:r w:rsidRPr="00FA57C5">
        <w:rPr>
          <w:rFonts w:ascii="Segoe UI" w:hAnsi="Segoe UI" w:cs="Segoe UI"/>
        </w:rPr>
        <w:t>Bim</w:t>
      </w:r>
      <w:proofErr w:type="spellEnd"/>
      <w:r w:rsidRPr="00FA57C5">
        <w:rPr>
          <w:rFonts w:ascii="Segoe UI" w:hAnsi="Segoe UI" w:cs="Segoe UI"/>
        </w:rPr>
        <w:t xml:space="preserve"> Cultural Landscape, located in the West Victoria RFA region. </w:t>
      </w:r>
      <w:r w:rsidRPr="00FA57C5">
        <w:rPr>
          <w:rFonts w:ascii="Segoe UI" w:hAnsi="Segoe UI" w:cs="Segoe UI"/>
          <w:b/>
          <w:bCs/>
        </w:rPr>
        <w:t xml:space="preserve"> </w:t>
      </w:r>
      <w:proofErr w:type="spellStart"/>
      <w:r w:rsidRPr="00FA57C5">
        <w:rPr>
          <w:rFonts w:ascii="Segoe UI" w:hAnsi="Segoe UI" w:cs="Segoe UI"/>
        </w:rPr>
        <w:t>Budj</w:t>
      </w:r>
      <w:proofErr w:type="spellEnd"/>
      <w:r w:rsidRPr="00FA57C5">
        <w:rPr>
          <w:rFonts w:ascii="Segoe UI" w:hAnsi="Segoe UI" w:cs="Segoe UI"/>
        </w:rPr>
        <w:t xml:space="preserve"> </w:t>
      </w:r>
      <w:proofErr w:type="spellStart"/>
      <w:r w:rsidRPr="00FA57C5">
        <w:rPr>
          <w:rFonts w:ascii="Segoe UI" w:hAnsi="Segoe UI" w:cs="Segoe UI"/>
        </w:rPr>
        <w:t>Bim</w:t>
      </w:r>
      <w:proofErr w:type="spellEnd"/>
      <w:r w:rsidRPr="00FA57C5">
        <w:rPr>
          <w:rFonts w:ascii="Segoe UI" w:hAnsi="Segoe UI" w:cs="Segoe UI"/>
        </w:rPr>
        <w:t xml:space="preserve"> will be discussed in more detail later in this section. The only other World Heritage property located in Victoria, the Royal Exhibition Building and Carlton Gardens, is not located within any of the Victorian RFA regions. </w:t>
      </w:r>
    </w:p>
    <w:p w:rsidR="00896E96" w:rsidRPr="00FA57C5" w:rsidRDefault="00896E96" w:rsidP="00896E96">
      <w:pPr>
        <w:jc w:val="both"/>
        <w:rPr>
          <w:rFonts w:ascii="Segoe UI" w:hAnsi="Segoe UI" w:cs="Segoe UI"/>
        </w:rPr>
      </w:pPr>
      <w:r w:rsidRPr="00FA57C5">
        <w:rPr>
          <w:rFonts w:ascii="Segoe UI" w:hAnsi="Segoe UI" w:cs="Segoe UI"/>
        </w:rPr>
        <w:t xml:space="preserve">The Victorian and Australian governments cooperatively manage World Heritage properties in accordance with EPBC Act regulations and in line with the Australian World Heritage Intergovernmental Agreement. They have statements of Outstanding Universal Value that describe the listed World Heritage values of each property. They also have comprehensive management/strategic plans that provide broad management principles for the area and establish the framework for the integrated management, protection, interpretation and monitoring of the properties. </w:t>
      </w:r>
    </w:p>
    <w:p w:rsidR="00896E96" w:rsidRPr="00FA57C5" w:rsidRDefault="00896E96" w:rsidP="00896E96">
      <w:pPr>
        <w:jc w:val="both"/>
        <w:rPr>
          <w:rFonts w:ascii="Segoe UI" w:hAnsi="Segoe UI" w:cs="Segoe UI"/>
          <w:lang w:eastAsia="ja-JP"/>
        </w:rPr>
      </w:pPr>
      <w:r w:rsidRPr="00FA57C5">
        <w:rPr>
          <w:rFonts w:ascii="Segoe UI" w:hAnsi="Segoe UI" w:cs="Segoe UI"/>
        </w:rPr>
        <w:t>World Heritage properties are managed separately from processes put in place by the Victorian RFAs and are protected by Part 3 of the EPBC Act. T</w:t>
      </w:r>
      <w:r w:rsidRPr="00FA57C5">
        <w:rPr>
          <w:rFonts w:ascii="Segoe UI" w:hAnsi="Segoe UI" w:cs="Segoe UI"/>
          <w:lang w:eastAsia="ja-JP"/>
        </w:rPr>
        <w:t>he Australian and Victorian governments will continue to participate in the assessment and protection of any future World Heritage places consistent with the Australian World Heritage Intergovernmental Agreement.</w:t>
      </w:r>
    </w:p>
    <w:p w:rsidR="00896E96" w:rsidRPr="00FA57C5" w:rsidRDefault="00896E96" w:rsidP="00896E96">
      <w:pPr>
        <w:jc w:val="both"/>
        <w:rPr>
          <w:rFonts w:ascii="Segoe UI" w:hAnsi="Segoe UI" w:cs="Segoe UI"/>
          <w:lang w:eastAsia="ja-JP"/>
        </w:rPr>
      </w:pPr>
      <w:r w:rsidRPr="00FA57C5">
        <w:rPr>
          <w:rFonts w:ascii="Segoe UI" w:hAnsi="Segoe UI" w:cs="Segoe UI"/>
          <w:lang w:eastAsia="ja-JP"/>
        </w:rPr>
        <w:t>Natural and cultural heritage, which contribute to the concept of World Heritage values, are protected and managed through the implementation of the CAR reserve system and application of the Victorian </w:t>
      </w:r>
      <w:r w:rsidRPr="00FA57C5">
        <w:rPr>
          <w:rFonts w:ascii="Segoe UI" w:hAnsi="Segoe UI" w:cs="Segoe UI"/>
        </w:rPr>
        <w:t>forest management system</w:t>
      </w:r>
      <w:r w:rsidRPr="00FA57C5">
        <w:rPr>
          <w:rFonts w:ascii="Segoe UI" w:hAnsi="Segoe UI" w:cs="Segoe UI"/>
          <w:lang w:eastAsia="ja-JP"/>
        </w:rPr>
        <w:t>.</w:t>
      </w:r>
    </w:p>
    <w:p w:rsidR="00896E96" w:rsidRPr="00FA57C5" w:rsidRDefault="00896E96" w:rsidP="00896E96">
      <w:pPr>
        <w:keepNext/>
        <w:spacing w:before="240" w:after="240" w:line="240" w:lineRule="auto"/>
        <w:outlineLvl w:val="2"/>
        <w:rPr>
          <w:rFonts w:ascii="Segoe UI" w:hAnsi="Segoe UI" w:cs="Segoe UI"/>
          <w:b/>
          <w:i/>
          <w:color w:val="000000"/>
          <w:sz w:val="24"/>
          <w:szCs w:val="24"/>
        </w:rPr>
      </w:pPr>
      <w:bookmarkStart w:id="132" w:name="_Toc11768305"/>
      <w:bookmarkStart w:id="133" w:name="_Toc30491987"/>
      <w:bookmarkStart w:id="134" w:name="_Toc33002084"/>
      <w:r w:rsidRPr="00FA57C5">
        <w:rPr>
          <w:rFonts w:ascii="Segoe UI" w:hAnsi="Segoe UI" w:cs="Segoe UI"/>
          <w:b/>
          <w:color w:val="000000"/>
          <w:sz w:val="24"/>
          <w:szCs w:val="24"/>
        </w:rPr>
        <w:t>Legislative protection of World Heritage values</w:t>
      </w:r>
      <w:bookmarkEnd w:id="132"/>
      <w:bookmarkEnd w:id="133"/>
      <w:bookmarkEnd w:id="134"/>
      <w:r w:rsidRPr="00FA57C5">
        <w:rPr>
          <w:rFonts w:ascii="Segoe UI" w:hAnsi="Segoe UI" w:cs="Segoe UI"/>
          <w:b/>
          <w:color w:val="000000"/>
          <w:sz w:val="24"/>
          <w:szCs w:val="24"/>
        </w:rPr>
        <w:t xml:space="preserve"> </w:t>
      </w:r>
    </w:p>
    <w:p w:rsidR="00896E96" w:rsidRPr="00FA57C5" w:rsidRDefault="00896E96" w:rsidP="00896E96">
      <w:pPr>
        <w:rPr>
          <w:rFonts w:ascii="Segoe UI" w:hAnsi="Segoe UI" w:cs="Segoe UI"/>
        </w:rPr>
      </w:pPr>
      <w:r w:rsidRPr="00FA57C5">
        <w:rPr>
          <w:rFonts w:ascii="Segoe UI" w:hAnsi="Segoe UI" w:cs="Segoe UI"/>
        </w:rPr>
        <w:t>The Convention Concerning the Protection of the World Cultural and Natural Heritage (the World Heritage Convention) (1972) establishes a list of places that have natural and/or cultural values of outstanding global significance. As a signatory to the convention, Australia has an obligation to identify, protect and conserve places on the World Heritage List (</w:t>
      </w:r>
      <w:proofErr w:type="spellStart"/>
      <w:r w:rsidRPr="00FA57C5">
        <w:rPr>
          <w:rFonts w:ascii="Segoe UI" w:hAnsi="Segoe UI" w:cs="Segoe UI"/>
        </w:rPr>
        <w:t>DoEE</w:t>
      </w:r>
      <w:proofErr w:type="spellEnd"/>
      <w:r w:rsidRPr="00FA57C5">
        <w:rPr>
          <w:rFonts w:ascii="Segoe UI" w:hAnsi="Segoe UI" w:cs="Segoe UI"/>
        </w:rPr>
        <w:t xml:space="preserve"> 2018).</w:t>
      </w:r>
    </w:p>
    <w:p w:rsidR="00896E96" w:rsidRPr="00FA57C5" w:rsidRDefault="00896E96" w:rsidP="00896E96">
      <w:pPr>
        <w:jc w:val="both"/>
        <w:rPr>
          <w:rFonts w:ascii="Segoe UI" w:hAnsi="Segoe UI" w:cs="Segoe UI"/>
        </w:rPr>
      </w:pPr>
      <w:r w:rsidRPr="00FA57C5">
        <w:rPr>
          <w:rFonts w:ascii="Segoe UI" w:hAnsi="Segoe UI" w:cs="Segoe UI"/>
          <w:lang w:eastAsia="en-AU"/>
        </w:rPr>
        <w:t xml:space="preserve">Under the </w:t>
      </w:r>
      <w:r w:rsidRPr="00FA57C5">
        <w:rPr>
          <w:rFonts w:ascii="Segoe UI" w:hAnsi="Segoe UI" w:cs="Segoe UI"/>
        </w:rPr>
        <w:t>EPBC Act</w:t>
      </w:r>
      <w:r w:rsidRPr="00FA57C5">
        <w:rPr>
          <w:rFonts w:ascii="Segoe UI" w:hAnsi="Segoe UI" w:cs="Segoe UI"/>
          <w:lang w:eastAsia="en-AU"/>
        </w:rPr>
        <w:t xml:space="preserve">, World Heritage properties are MNES. The </w:t>
      </w:r>
      <w:r w:rsidRPr="00FA57C5">
        <w:rPr>
          <w:rFonts w:ascii="Segoe UI" w:hAnsi="Segoe UI" w:cs="Segoe UI"/>
        </w:rPr>
        <w:t>EPBC Act</w:t>
      </w:r>
      <w:r w:rsidRPr="00FA57C5">
        <w:rPr>
          <w:rFonts w:ascii="Segoe UI" w:hAnsi="Segoe UI" w:cs="Segoe UI"/>
          <w:lang w:eastAsia="en-AU"/>
        </w:rPr>
        <w:t xml:space="preserve"> therefore provides protection for World Heritage properties by ensuring that an assessment process is undertaken for proposed actions (including forestry operations) that will, or are likely to, have a significant impact on the World Heritage values of a declared World Heritage property. This process allows the Commonwealth Minister for the Environment to grant or refuse approval to take an action, and to impose conditions on the taking of an action, within a World Heritage property. The EPBC </w:t>
      </w:r>
      <w:r w:rsidRPr="00FA57C5">
        <w:rPr>
          <w:rFonts w:ascii="Segoe UI" w:hAnsi="Segoe UI" w:cs="Segoe UI"/>
        </w:rPr>
        <w:t>Act also provides for the preparation of management plans which set out the significant heritage aspects of the place and detail how the values of the site will be managed.</w:t>
      </w:r>
    </w:p>
    <w:p w:rsidR="00896E96" w:rsidRPr="00FA57C5" w:rsidRDefault="00896E96" w:rsidP="00896E96">
      <w:pPr>
        <w:jc w:val="both"/>
        <w:rPr>
          <w:rFonts w:ascii="Segoe UI" w:hAnsi="Segoe UI" w:cs="Segoe UI"/>
        </w:rPr>
      </w:pPr>
      <w:r w:rsidRPr="00FA57C5">
        <w:rPr>
          <w:rFonts w:ascii="Segoe UI" w:hAnsi="Segoe UI" w:cs="Segoe UI"/>
        </w:rPr>
        <w:t>The exemption of forestry operations in RFAs from Commonwealth assessment and approval requirements under section 38 of the EPBC Act does not apply to operations within World Heritage properties or Ramsar wetland sites</w:t>
      </w:r>
      <w:r w:rsidRPr="00FA57C5">
        <w:rPr>
          <w:rFonts w:ascii="Segoe UI" w:hAnsi="Segoe UI" w:cs="Segoe UI"/>
          <w:vertAlign w:val="superscript"/>
        </w:rPr>
        <w:footnoteReference w:id="14"/>
      </w:r>
      <w:r w:rsidRPr="00FA57C5">
        <w:rPr>
          <w:rFonts w:ascii="Segoe UI" w:hAnsi="Segoe UI" w:cs="Segoe UI"/>
        </w:rPr>
        <w:t>.</w:t>
      </w:r>
    </w:p>
    <w:p w:rsidR="00896E96" w:rsidRPr="00FA57C5" w:rsidRDefault="00896E96" w:rsidP="00896E96">
      <w:pPr>
        <w:keepNext/>
        <w:spacing w:before="240" w:after="240" w:line="240" w:lineRule="auto"/>
        <w:outlineLvl w:val="2"/>
        <w:rPr>
          <w:rFonts w:ascii="Segoe UI" w:hAnsi="Segoe UI" w:cs="Segoe UI"/>
          <w:b/>
          <w:i/>
          <w:color w:val="000000"/>
          <w:sz w:val="24"/>
          <w:szCs w:val="24"/>
        </w:rPr>
      </w:pPr>
      <w:bookmarkStart w:id="135" w:name="_Toc11768306"/>
      <w:bookmarkStart w:id="136" w:name="_Toc30491988"/>
      <w:bookmarkStart w:id="137" w:name="_Toc33002085"/>
      <w:r w:rsidRPr="00FA57C5">
        <w:rPr>
          <w:rFonts w:ascii="Segoe UI" w:hAnsi="Segoe UI" w:cs="Segoe UI"/>
          <w:b/>
          <w:color w:val="000000"/>
          <w:sz w:val="24"/>
          <w:szCs w:val="24"/>
        </w:rPr>
        <w:t>World Heritage listing</w:t>
      </w:r>
      <w:bookmarkEnd w:id="135"/>
      <w:bookmarkEnd w:id="136"/>
      <w:bookmarkEnd w:id="137"/>
      <w:r w:rsidRPr="00FA57C5">
        <w:rPr>
          <w:rFonts w:ascii="Segoe UI" w:hAnsi="Segoe UI" w:cs="Segoe UI"/>
          <w:b/>
          <w:color w:val="000000"/>
          <w:sz w:val="24"/>
          <w:szCs w:val="24"/>
        </w:rPr>
        <w:t xml:space="preserve"> </w:t>
      </w:r>
    </w:p>
    <w:p w:rsidR="00896E96" w:rsidRPr="00FA57C5" w:rsidRDefault="00896E96" w:rsidP="00896E96">
      <w:pPr>
        <w:jc w:val="both"/>
        <w:rPr>
          <w:rFonts w:ascii="Segoe UI" w:hAnsi="Segoe UI" w:cs="Segoe UI"/>
        </w:rPr>
      </w:pPr>
      <w:r w:rsidRPr="00FA57C5">
        <w:rPr>
          <w:rFonts w:ascii="Segoe UI" w:hAnsi="Segoe UI" w:cs="Segoe UI"/>
        </w:rPr>
        <w:t>To be inscribed on the World Heritage List, properties must demonstrate outstanding universal value and meet at least one of the 10 selection criteria. These criteria are based on cultural heritage and natural heritage as defined in the World Heritage Convention.</w:t>
      </w:r>
    </w:p>
    <w:p w:rsidR="00896E96" w:rsidRPr="00FA57C5" w:rsidRDefault="00896E96" w:rsidP="00896E96">
      <w:pPr>
        <w:jc w:val="both"/>
        <w:rPr>
          <w:rFonts w:ascii="Segoe UI" w:hAnsi="Segoe UI" w:cs="Segoe UI"/>
        </w:rPr>
      </w:pPr>
      <w:r w:rsidRPr="00FA57C5">
        <w:rPr>
          <w:rFonts w:ascii="Segoe UI" w:hAnsi="Segoe UI" w:cs="Segoe UI"/>
        </w:rPr>
        <w:t xml:space="preserve">Only the Australian Government can nominate Australian places for inclusion on the World Heritage List. The World Heritage Committee assesses nominated places against the set criteria and makes the final decision as to the places that are included on the World Heritage List. </w:t>
      </w:r>
    </w:p>
    <w:p w:rsidR="00896E96" w:rsidRPr="00FA57C5" w:rsidRDefault="00896E96" w:rsidP="00896E96">
      <w:pPr>
        <w:keepNext/>
        <w:spacing w:before="120" w:after="120" w:line="240" w:lineRule="auto"/>
        <w:jc w:val="both"/>
        <w:outlineLvl w:val="3"/>
        <w:rPr>
          <w:rFonts w:ascii="Segoe UI" w:hAnsi="Segoe UI" w:cs="Segoe UI"/>
          <w:i/>
          <w:sz w:val="24"/>
          <w:szCs w:val="24"/>
        </w:rPr>
      </w:pPr>
      <w:proofErr w:type="spellStart"/>
      <w:r w:rsidRPr="00FA57C5">
        <w:rPr>
          <w:rFonts w:ascii="Segoe UI" w:hAnsi="Segoe UI" w:cs="Segoe UI"/>
          <w:i/>
          <w:sz w:val="24"/>
          <w:szCs w:val="24"/>
        </w:rPr>
        <w:t>Budj</w:t>
      </w:r>
      <w:proofErr w:type="spellEnd"/>
      <w:r w:rsidRPr="00FA57C5">
        <w:rPr>
          <w:rFonts w:ascii="Segoe UI" w:hAnsi="Segoe UI" w:cs="Segoe UI"/>
          <w:i/>
          <w:sz w:val="24"/>
          <w:szCs w:val="24"/>
        </w:rPr>
        <w:t xml:space="preserve"> </w:t>
      </w:r>
      <w:proofErr w:type="spellStart"/>
      <w:r w:rsidRPr="00FA57C5">
        <w:rPr>
          <w:rFonts w:ascii="Segoe UI" w:hAnsi="Segoe UI" w:cs="Segoe UI"/>
          <w:i/>
          <w:sz w:val="24"/>
          <w:szCs w:val="24"/>
        </w:rPr>
        <w:t>Bim</w:t>
      </w:r>
      <w:proofErr w:type="spellEnd"/>
      <w:r w:rsidRPr="00FA57C5">
        <w:rPr>
          <w:rFonts w:ascii="Segoe UI" w:hAnsi="Segoe UI" w:cs="Segoe UI"/>
          <w:i/>
          <w:sz w:val="24"/>
          <w:szCs w:val="24"/>
        </w:rPr>
        <w:t xml:space="preserve"> Cultural Landscape</w:t>
      </w:r>
    </w:p>
    <w:p w:rsidR="00896E96" w:rsidRPr="00FA57C5" w:rsidRDefault="00896E96" w:rsidP="00896E96">
      <w:pPr>
        <w:jc w:val="both"/>
        <w:rPr>
          <w:rFonts w:ascii="Segoe UI" w:hAnsi="Segoe UI" w:cs="Segoe UI"/>
        </w:rPr>
      </w:pPr>
      <w:r w:rsidRPr="00FA57C5">
        <w:rPr>
          <w:rFonts w:ascii="Segoe UI" w:hAnsi="Segoe UI" w:cs="Segoe UI"/>
        </w:rPr>
        <w:t xml:space="preserve">The </w:t>
      </w:r>
      <w:proofErr w:type="spellStart"/>
      <w:r w:rsidRPr="00FA57C5">
        <w:rPr>
          <w:rFonts w:ascii="Segoe UI" w:hAnsi="Segoe UI" w:cs="Segoe UI"/>
        </w:rPr>
        <w:t>Budj</w:t>
      </w:r>
      <w:proofErr w:type="spellEnd"/>
      <w:r w:rsidRPr="00FA57C5">
        <w:rPr>
          <w:rFonts w:ascii="Segoe UI" w:hAnsi="Segoe UI" w:cs="Segoe UI"/>
        </w:rPr>
        <w:t xml:space="preserve"> </w:t>
      </w:r>
      <w:proofErr w:type="spellStart"/>
      <w:r w:rsidRPr="00FA57C5">
        <w:rPr>
          <w:rFonts w:ascii="Segoe UI" w:hAnsi="Segoe UI" w:cs="Segoe UI"/>
        </w:rPr>
        <w:t>Bim</w:t>
      </w:r>
      <w:proofErr w:type="spellEnd"/>
      <w:r w:rsidRPr="00FA57C5">
        <w:rPr>
          <w:rFonts w:ascii="Segoe UI" w:hAnsi="Segoe UI" w:cs="Segoe UI"/>
        </w:rPr>
        <w:t xml:space="preserve"> Cultural Landscape is located in the traditional Country of the Gunditjmara Aboriginal people in south-eastern Australia (</w:t>
      </w:r>
      <w:r w:rsidRPr="00FA57C5">
        <w:rPr>
          <w:rFonts w:ascii="Segoe UI" w:hAnsi="Segoe UI" w:cs="Segoe UI"/>
        </w:rPr>
        <w:fldChar w:fldCharType="begin"/>
      </w:r>
      <w:r w:rsidRPr="00FA57C5">
        <w:rPr>
          <w:rFonts w:ascii="Segoe UI" w:hAnsi="Segoe UI" w:cs="Segoe UI"/>
        </w:rPr>
        <w:instrText xml:space="preserve"> REF _Ref18576092 \h  \* MERGEFORMAT </w:instrText>
      </w:r>
      <w:r w:rsidRPr="00FA57C5">
        <w:rPr>
          <w:rFonts w:ascii="Segoe UI" w:hAnsi="Segoe UI" w:cs="Segoe UI"/>
        </w:rPr>
      </w:r>
      <w:r w:rsidRPr="00FA57C5">
        <w:rPr>
          <w:rFonts w:ascii="Segoe UI" w:hAnsi="Segoe UI" w:cs="Segoe UI"/>
        </w:rPr>
        <w:fldChar w:fldCharType="separate"/>
      </w:r>
      <w:r w:rsidRPr="00FA57C5">
        <w:rPr>
          <w:rFonts w:ascii="Segoe UI" w:hAnsi="Segoe UI" w:cs="Segoe UI"/>
        </w:rPr>
        <w:t>Figure 4</w:t>
      </w:r>
      <w:r w:rsidRPr="00FA57C5">
        <w:rPr>
          <w:rFonts w:ascii="Segoe UI" w:hAnsi="Segoe UI" w:cs="Segoe UI"/>
        </w:rPr>
        <w:fldChar w:fldCharType="end"/>
      </w:r>
      <w:r w:rsidRPr="00FA57C5">
        <w:rPr>
          <w:rFonts w:ascii="Segoe UI" w:hAnsi="Segoe UI" w:cs="Segoe UI"/>
        </w:rPr>
        <w:t xml:space="preserve">). It was inscribed on the World Heritage List on 6 July 2019. The </w:t>
      </w:r>
      <w:proofErr w:type="spellStart"/>
      <w:r w:rsidRPr="00FA57C5">
        <w:rPr>
          <w:rFonts w:ascii="Segoe UI" w:hAnsi="Segoe UI" w:cs="Segoe UI"/>
        </w:rPr>
        <w:t>Budj</w:t>
      </w:r>
      <w:proofErr w:type="spellEnd"/>
      <w:r w:rsidRPr="00FA57C5">
        <w:rPr>
          <w:rFonts w:ascii="Segoe UI" w:hAnsi="Segoe UI" w:cs="Segoe UI"/>
        </w:rPr>
        <w:t xml:space="preserve"> </w:t>
      </w:r>
      <w:proofErr w:type="spellStart"/>
      <w:r w:rsidRPr="00FA57C5">
        <w:rPr>
          <w:rFonts w:ascii="Segoe UI" w:hAnsi="Segoe UI" w:cs="Segoe UI"/>
        </w:rPr>
        <w:t>Bim</w:t>
      </w:r>
      <w:proofErr w:type="spellEnd"/>
      <w:r w:rsidRPr="00FA57C5">
        <w:rPr>
          <w:rFonts w:ascii="Segoe UI" w:hAnsi="Segoe UI" w:cs="Segoe UI"/>
        </w:rPr>
        <w:t xml:space="preserve"> Cultural Landscape incorporates intact and outstanding examples of the largest Gunditjmara aquaculture complexes and a representative selection of the most significant and best-preserved smaller structures. These include complexes at Tae </w:t>
      </w:r>
      <w:proofErr w:type="spellStart"/>
      <w:r w:rsidRPr="00FA57C5">
        <w:rPr>
          <w:rFonts w:ascii="Segoe UI" w:hAnsi="Segoe UI" w:cs="Segoe UI"/>
        </w:rPr>
        <w:t>Rak</w:t>
      </w:r>
      <w:proofErr w:type="spellEnd"/>
      <w:r w:rsidRPr="00FA57C5">
        <w:rPr>
          <w:rFonts w:ascii="Segoe UI" w:hAnsi="Segoe UI" w:cs="Segoe UI"/>
        </w:rPr>
        <w:t xml:space="preserve"> (Lake Condah), Tyrendarra and </w:t>
      </w:r>
      <w:proofErr w:type="spellStart"/>
      <w:r w:rsidRPr="00FA57C5">
        <w:rPr>
          <w:rFonts w:ascii="Segoe UI" w:hAnsi="Segoe UI" w:cs="Segoe UI"/>
        </w:rPr>
        <w:t>Kurtonitj</w:t>
      </w:r>
      <w:proofErr w:type="spellEnd"/>
      <w:r w:rsidRPr="00FA57C5">
        <w:rPr>
          <w:rFonts w:ascii="Segoe UI" w:hAnsi="Segoe UI" w:cs="Segoe UI"/>
        </w:rPr>
        <w:t xml:space="preserve">. Each complex includes all the physical elements of the system (that is, channels, weirs, dams and ponds) that demonstrate the operation of Gunditjmara aquaculture. The property also includes </w:t>
      </w:r>
      <w:proofErr w:type="spellStart"/>
      <w:r w:rsidRPr="00FA57C5">
        <w:rPr>
          <w:rFonts w:ascii="Segoe UI" w:hAnsi="Segoe UI" w:cs="Segoe UI"/>
        </w:rPr>
        <w:t>Budj</w:t>
      </w:r>
      <w:proofErr w:type="spellEnd"/>
      <w:r w:rsidRPr="00FA57C5">
        <w:rPr>
          <w:rFonts w:ascii="Segoe UI" w:hAnsi="Segoe UI" w:cs="Segoe UI"/>
        </w:rPr>
        <w:t xml:space="preserve"> </w:t>
      </w:r>
      <w:proofErr w:type="spellStart"/>
      <w:r w:rsidRPr="00FA57C5">
        <w:rPr>
          <w:rFonts w:ascii="Segoe UI" w:hAnsi="Segoe UI" w:cs="Segoe UI"/>
        </w:rPr>
        <w:t>Bim</w:t>
      </w:r>
      <w:proofErr w:type="spellEnd"/>
      <w:r w:rsidRPr="00FA57C5">
        <w:rPr>
          <w:rFonts w:ascii="Segoe UI" w:hAnsi="Segoe UI" w:cs="Segoe UI"/>
        </w:rPr>
        <w:t xml:space="preserve">, a Gunditjmara Ancestral Being and volcano that is the source of the lava flow on which the aquaculture system is constructed. </w:t>
      </w:r>
    </w:p>
    <w:p w:rsidR="00896E96" w:rsidRPr="00FA57C5" w:rsidRDefault="00896E96" w:rsidP="00896E96">
      <w:pPr>
        <w:jc w:val="both"/>
        <w:rPr>
          <w:rFonts w:ascii="Segoe UI" w:hAnsi="Segoe UI" w:cs="Segoe UI"/>
          <w:b/>
        </w:rPr>
      </w:pPr>
      <w:r w:rsidRPr="00FA57C5">
        <w:rPr>
          <w:rFonts w:ascii="Segoe UI" w:hAnsi="Segoe UI" w:cs="Segoe UI"/>
        </w:rPr>
        <w:t xml:space="preserve">All of the </w:t>
      </w:r>
      <w:proofErr w:type="spellStart"/>
      <w:r w:rsidRPr="00FA57C5">
        <w:rPr>
          <w:rFonts w:ascii="Segoe UI" w:hAnsi="Segoe UI" w:cs="Segoe UI"/>
        </w:rPr>
        <w:t>Budj</w:t>
      </w:r>
      <w:proofErr w:type="spellEnd"/>
      <w:r w:rsidRPr="00FA57C5">
        <w:rPr>
          <w:rFonts w:ascii="Segoe UI" w:hAnsi="Segoe UI" w:cs="Segoe UI"/>
        </w:rPr>
        <w:t xml:space="preserve"> </w:t>
      </w:r>
      <w:proofErr w:type="spellStart"/>
      <w:r w:rsidRPr="00FA57C5">
        <w:rPr>
          <w:rFonts w:ascii="Segoe UI" w:hAnsi="Segoe UI" w:cs="Segoe UI"/>
        </w:rPr>
        <w:t>Bim</w:t>
      </w:r>
      <w:proofErr w:type="spellEnd"/>
      <w:r w:rsidRPr="00FA57C5">
        <w:rPr>
          <w:rFonts w:ascii="Segoe UI" w:hAnsi="Segoe UI" w:cs="Segoe UI"/>
        </w:rPr>
        <w:t xml:space="preserve"> Cultural Landscape is Aboriginal-owned and/or managed and is administered to respect the customary and legal rights and obligations of the Gunditjmara Traditional Owners.</w:t>
      </w:r>
    </w:p>
    <w:p w:rsidR="00896E96" w:rsidRPr="00FA57C5" w:rsidRDefault="00896E96" w:rsidP="00896E96">
      <w:pPr>
        <w:rPr>
          <w:rFonts w:ascii="Segoe UI" w:hAnsi="Segoe UI" w:cs="Segoe UI"/>
        </w:rPr>
      </w:pPr>
      <w:r w:rsidRPr="00FA57C5">
        <w:rPr>
          <w:rFonts w:ascii="Segoe UI" w:hAnsi="Segoe UI" w:cs="Segoe UI"/>
          <w:noProof/>
          <w:lang w:eastAsia="en-AU"/>
        </w:rPr>
        <w:drawing>
          <wp:inline distT="0" distB="0" distL="0" distR="0" wp14:anchorId="1C51D67F" wp14:editId="0A9E8528">
            <wp:extent cx="5829300" cy="7213079"/>
            <wp:effectExtent l="0" t="0" r="0" b="6985"/>
            <wp:docPr id="1560527652" name="Picture 15605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68027" cy="7261000"/>
                    </a:xfrm>
                    <a:prstGeom prst="rect">
                      <a:avLst/>
                    </a:prstGeom>
                    <a:noFill/>
                    <a:ln>
                      <a:noFill/>
                    </a:ln>
                  </pic:spPr>
                </pic:pic>
              </a:graphicData>
            </a:graphic>
          </wp:inline>
        </w:drawing>
      </w:r>
    </w:p>
    <w:p w:rsidR="00896E96" w:rsidRPr="00FA57C5" w:rsidRDefault="00896E96" w:rsidP="00896E96">
      <w:pPr>
        <w:spacing w:after="200" w:line="240" w:lineRule="auto"/>
        <w:rPr>
          <w:rFonts w:ascii="Segoe UI Semibold" w:eastAsia="Times New Roman" w:hAnsi="Segoe UI Semibold" w:cs="Times New Roman"/>
          <w:color w:val="016295"/>
        </w:rPr>
      </w:pPr>
      <w:bookmarkStart w:id="138" w:name="_Ref18576092"/>
      <w:r w:rsidRPr="00FA57C5">
        <w:rPr>
          <w:rFonts w:ascii="Segoe UI Semibold" w:eastAsia="Times New Roman" w:hAnsi="Segoe UI Semibold" w:cs="Times New Roman"/>
          <w:color w:val="016295"/>
        </w:rPr>
        <w:t xml:space="preserve">Figure </w:t>
      </w:r>
      <w:r w:rsidRPr="00FA57C5">
        <w:rPr>
          <w:rFonts w:ascii="Segoe UI Semibold" w:eastAsia="Times New Roman" w:hAnsi="Segoe UI Semibold" w:cs="Times New Roman"/>
          <w:color w:val="016295"/>
        </w:rPr>
        <w:fldChar w:fldCharType="begin"/>
      </w:r>
      <w:r w:rsidRPr="00FA57C5">
        <w:rPr>
          <w:rFonts w:ascii="Segoe UI Semibold" w:eastAsia="Times New Roman" w:hAnsi="Segoe UI Semibold" w:cs="Times New Roman"/>
          <w:color w:val="016295"/>
        </w:rPr>
        <w:instrText xml:space="preserve"> SEQ Figure \* ARABIC </w:instrText>
      </w:r>
      <w:r w:rsidRPr="00FA57C5">
        <w:rPr>
          <w:rFonts w:ascii="Segoe UI Semibold" w:eastAsia="Times New Roman" w:hAnsi="Segoe UI Semibold" w:cs="Times New Roman"/>
          <w:color w:val="016295"/>
        </w:rPr>
        <w:fldChar w:fldCharType="separate"/>
      </w:r>
      <w:r w:rsidRPr="00FA57C5">
        <w:rPr>
          <w:rFonts w:ascii="Segoe UI Semibold" w:eastAsia="Times New Roman" w:hAnsi="Segoe UI Semibold" w:cs="Times New Roman"/>
          <w:noProof/>
          <w:color w:val="016295"/>
        </w:rPr>
        <w:t>4</w:t>
      </w:r>
      <w:r w:rsidRPr="00FA57C5">
        <w:rPr>
          <w:rFonts w:ascii="Segoe UI Semibold" w:eastAsia="Times New Roman" w:hAnsi="Segoe UI Semibold" w:cs="Times New Roman"/>
          <w:noProof/>
          <w:color w:val="016295"/>
        </w:rPr>
        <w:fldChar w:fldCharType="end"/>
      </w:r>
      <w:bookmarkEnd w:id="138"/>
      <w:r w:rsidRPr="00FA57C5">
        <w:rPr>
          <w:rFonts w:ascii="Segoe UI Semibold" w:eastAsia="Times New Roman" w:hAnsi="Segoe UI Semibold" w:cs="Times New Roman"/>
          <w:color w:val="016295"/>
        </w:rPr>
        <w:t xml:space="preserve">: </w:t>
      </w:r>
      <w:proofErr w:type="spellStart"/>
      <w:r w:rsidRPr="00FA57C5">
        <w:rPr>
          <w:rFonts w:ascii="Segoe UI Semibold" w:eastAsia="Times New Roman" w:hAnsi="Segoe UI Semibold" w:cs="Times New Roman"/>
          <w:color w:val="016295"/>
        </w:rPr>
        <w:t>Budj</w:t>
      </w:r>
      <w:proofErr w:type="spellEnd"/>
      <w:r w:rsidRPr="00FA57C5">
        <w:rPr>
          <w:rFonts w:ascii="Segoe UI Semibold" w:eastAsia="Times New Roman" w:hAnsi="Segoe UI Semibold" w:cs="Times New Roman"/>
          <w:color w:val="016295"/>
        </w:rPr>
        <w:t xml:space="preserve"> </w:t>
      </w:r>
      <w:proofErr w:type="spellStart"/>
      <w:r w:rsidRPr="00FA57C5">
        <w:rPr>
          <w:rFonts w:ascii="Segoe UI Semibold" w:eastAsia="Times New Roman" w:hAnsi="Segoe UI Semibold" w:cs="Times New Roman"/>
          <w:color w:val="016295"/>
        </w:rPr>
        <w:t>Bim</w:t>
      </w:r>
      <w:proofErr w:type="spellEnd"/>
      <w:r w:rsidRPr="00FA57C5">
        <w:rPr>
          <w:rFonts w:ascii="Segoe UI Semibold" w:eastAsia="Times New Roman" w:hAnsi="Segoe UI Semibold" w:cs="Times New Roman"/>
          <w:color w:val="016295"/>
        </w:rPr>
        <w:t xml:space="preserve"> Cultural Landscape</w:t>
      </w:r>
    </w:p>
    <w:p w:rsidR="00896E96" w:rsidRPr="00FA57C5" w:rsidRDefault="00896E96" w:rsidP="00896E96">
      <w:pPr>
        <w:spacing w:before="80"/>
        <w:rPr>
          <w:rFonts w:ascii="Segoe UI" w:eastAsia="STZhongsong" w:hAnsi="Segoe UI" w:cs="Segoe UI"/>
          <w:bCs/>
          <w:sz w:val="18"/>
          <w:szCs w:val="18"/>
          <w:lang w:eastAsia="ko-KR"/>
        </w:rPr>
      </w:pPr>
      <w:r w:rsidRPr="00FA57C5">
        <w:rPr>
          <w:rFonts w:ascii="Segoe UI" w:eastAsia="STZhongsong" w:hAnsi="Segoe UI" w:cs="Segoe UI"/>
          <w:bCs/>
          <w:sz w:val="18"/>
          <w:szCs w:val="18"/>
          <w:lang w:eastAsia="ko-KR"/>
        </w:rPr>
        <w:t xml:space="preserve">Source: </w:t>
      </w:r>
      <w:proofErr w:type="spellStart"/>
      <w:r w:rsidRPr="00FA57C5">
        <w:rPr>
          <w:rFonts w:ascii="Segoe UI" w:eastAsia="STZhongsong" w:hAnsi="Segoe UI" w:cs="Segoe UI"/>
          <w:bCs/>
          <w:sz w:val="18"/>
          <w:szCs w:val="18"/>
          <w:lang w:eastAsia="ko-KR"/>
        </w:rPr>
        <w:t>DoEE</w:t>
      </w:r>
      <w:proofErr w:type="spellEnd"/>
      <w:r w:rsidRPr="00FA57C5">
        <w:rPr>
          <w:rFonts w:ascii="Segoe UI" w:eastAsia="STZhongsong" w:hAnsi="Segoe UI" w:cs="Segoe UI"/>
          <w:bCs/>
          <w:sz w:val="18"/>
          <w:szCs w:val="18"/>
          <w:lang w:eastAsia="ko-KR"/>
        </w:rPr>
        <w:t xml:space="preserve"> 2019</w:t>
      </w:r>
    </w:p>
    <w:p w:rsidR="00896E96" w:rsidRPr="008268EB" w:rsidRDefault="00896E96" w:rsidP="00896E96">
      <w:pPr>
        <w:rPr>
          <w:rFonts w:ascii="Segoe UI" w:eastAsia="STZhongsong" w:hAnsi="Segoe UI" w:cs="Segoe UI"/>
          <w:bCs/>
          <w:sz w:val="18"/>
          <w:szCs w:val="18"/>
          <w:highlight w:val="red"/>
          <w:lang w:eastAsia="ko-KR"/>
        </w:rPr>
      </w:pPr>
    </w:p>
    <w:p w:rsidR="00F83A6A" w:rsidRPr="008268EB" w:rsidRDefault="00F83A6A">
      <w:pPr>
        <w:rPr>
          <w:rFonts w:ascii="Segoe UI" w:hAnsi="Segoe UI" w:cs="Segoe UI"/>
        </w:rPr>
      </w:pPr>
    </w:p>
    <w:sectPr w:rsidR="00F83A6A" w:rsidRPr="008268EB" w:rsidSect="008268EB">
      <w:footerReference w:type="default" r:id="rId17"/>
      <w:pgSz w:w="11906" w:h="16838"/>
      <w:pgMar w:top="1440" w:right="1440" w:bottom="1440" w:left="1440" w:header="708" w:footer="708" w:gutter="0"/>
      <w:pgNumType w:start="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8EB" w:rsidRDefault="008268EB" w:rsidP="008268EB">
      <w:pPr>
        <w:spacing w:after="0" w:line="240" w:lineRule="auto"/>
      </w:pPr>
      <w:r>
        <w:separator/>
      </w:r>
    </w:p>
  </w:endnote>
  <w:endnote w:type="continuationSeparator" w:id="0">
    <w:p w:rsidR="008268EB" w:rsidRDefault="008268EB" w:rsidP="00826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Majalla UI">
    <w:altName w:val="Times New Roman"/>
    <w:panose1 w:val="00000000000000000000"/>
    <w:charset w:val="00"/>
    <w:family w:val="roman"/>
    <w:notTrueType/>
    <w:pitch w:val="default"/>
  </w:font>
  <w:font w:name="Gill Sans MT">
    <w:altName w:val="Segoe UI"/>
    <w:panose1 w:val="020B0502020104020203"/>
    <w:charset w:val="00"/>
    <w:family w:val="swiss"/>
    <w:pitch w:val="variable"/>
    <w:sig w:usb0="00000007" w:usb1="00000000" w:usb2="00000000" w:usb3="00000000" w:csb0="00000003" w:csb1="00000000"/>
  </w:font>
  <w:font w:name="Microsoft JhengHei UI Light">
    <w:panose1 w:val="020B0304030504040204"/>
    <w:charset w:val="88"/>
    <w:family w:val="swiss"/>
    <w:pitch w:val="variable"/>
    <w:sig w:usb0="800002A7" w:usb1="28CF4400" w:usb2="00000016" w:usb3="00000000" w:csb0="00100009" w:csb1="00000000"/>
  </w:font>
  <w:font w:name="Segoe UI Light">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nivers 55">
    <w:altName w:val="Calibri"/>
    <w:panose1 w:val="00000000000000000000"/>
    <w:charset w:val="00"/>
    <w:family w:val="swiss"/>
    <w:notTrueType/>
    <w:pitch w:val="default"/>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FS Me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hiller">
    <w:panose1 w:val="04020404031007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542074"/>
      <w:docPartObj>
        <w:docPartGallery w:val="Page Numbers (Bottom of Page)"/>
        <w:docPartUnique/>
      </w:docPartObj>
    </w:sdtPr>
    <w:sdtEndPr>
      <w:rPr>
        <w:noProof/>
      </w:rPr>
    </w:sdtEndPr>
    <w:sdtContent>
      <w:p w:rsidR="008268EB" w:rsidRDefault="008268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268EB" w:rsidRDefault="00826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8EB" w:rsidRDefault="008268EB" w:rsidP="008268EB">
      <w:pPr>
        <w:spacing w:after="0" w:line="240" w:lineRule="auto"/>
      </w:pPr>
      <w:r>
        <w:separator/>
      </w:r>
    </w:p>
  </w:footnote>
  <w:footnote w:type="continuationSeparator" w:id="0">
    <w:p w:rsidR="008268EB" w:rsidRDefault="008268EB" w:rsidP="008268EB">
      <w:pPr>
        <w:spacing w:after="0" w:line="240" w:lineRule="auto"/>
      </w:pPr>
      <w:r>
        <w:continuationSeparator/>
      </w:r>
    </w:p>
  </w:footnote>
  <w:footnote w:id="1">
    <w:p w:rsidR="008268EB" w:rsidRDefault="008268EB" w:rsidP="008268EB">
      <w:pPr>
        <w:pStyle w:val="FootnoteText"/>
      </w:pPr>
      <w:r>
        <w:rPr>
          <w:rStyle w:val="FootnoteReference"/>
        </w:rPr>
        <w:footnoteRef/>
      </w:r>
      <w:r>
        <w:t xml:space="preserve"> MOG is the acronym for Modelled Old Growth. The Modelled Old Growth spatial layer in the corporate data library is also named MOG.</w:t>
      </w:r>
    </w:p>
  </w:footnote>
  <w:footnote w:id="2">
    <w:p w:rsidR="008268EB" w:rsidRDefault="008268EB" w:rsidP="008268EB">
      <w:pPr>
        <w:pStyle w:val="xFootnotes"/>
      </w:pPr>
      <w:r w:rsidRPr="009477CA">
        <w:footnoteRef/>
      </w:r>
      <w:r w:rsidRPr="004B649E">
        <w:t xml:space="preserve"> </w:t>
      </w:r>
      <w:r>
        <w:tab/>
      </w:r>
      <w:r w:rsidRPr="004B649E">
        <w:t xml:space="preserve">Eucalypts can broadly be categorised into </w:t>
      </w:r>
      <w:r>
        <w:t>’</w:t>
      </w:r>
      <w:r w:rsidRPr="004B649E">
        <w:t>Sprouter Forests</w:t>
      </w:r>
      <w:r>
        <w:t>’</w:t>
      </w:r>
      <w:r w:rsidRPr="004B649E">
        <w:t xml:space="preserve"> and </w:t>
      </w:r>
      <w:r>
        <w:t>‘‘</w:t>
      </w:r>
      <w:r w:rsidRPr="004B649E">
        <w:t>Obligate Seeders</w:t>
      </w:r>
      <w:r>
        <w:t>’</w:t>
      </w:r>
      <w:r w:rsidRPr="004B649E">
        <w:t>. The former responds to fire b</w:t>
      </w:r>
      <w:r w:rsidRPr="00F00EB1">
        <w:t>y sprouting epicormic shoots, are associated with mixed species forest, and are generally more tolerant of fire.</w:t>
      </w:r>
    </w:p>
  </w:footnote>
  <w:footnote w:id="3">
    <w:p w:rsidR="008268EB" w:rsidRPr="00F00EB1" w:rsidRDefault="008268EB" w:rsidP="008268EB">
      <w:pPr>
        <w:pStyle w:val="xFootnotes"/>
      </w:pPr>
      <w:r w:rsidRPr="00AE7B5D">
        <w:footnoteRef/>
      </w:r>
      <w:r w:rsidRPr="00F00EB1">
        <w:t xml:space="preserve"> </w:t>
      </w:r>
      <w:r>
        <w:tab/>
      </w:r>
      <w:r w:rsidRPr="00F00EB1">
        <w:t>The full NFPS definition is:</w:t>
      </w:r>
    </w:p>
    <w:p w:rsidR="008268EB" w:rsidRDefault="008268EB" w:rsidP="008268EB">
      <w:pPr>
        <w:pStyle w:val="xFootnotes"/>
        <w:ind w:firstLine="0"/>
        <w:rPr>
          <w:rStyle w:val="Italics"/>
        </w:rPr>
      </w:pPr>
      <w:r w:rsidRPr="00AE7B5D">
        <w:rPr>
          <w:rStyle w:val="Italics"/>
        </w:rPr>
        <w:t>land that, together with its plant and animal communities, is in a state that has not been substantially modified by, and is remote from, the influences of European settlement or is capable of being restored to such a state; is of sufficient size to make its maintenance in such a state feasible; and is capable of providing opportunities for solitude and self-reliant recreation.</w:t>
      </w:r>
    </w:p>
    <w:p w:rsidR="008268EB" w:rsidRPr="00E63B74" w:rsidRDefault="008268EB" w:rsidP="008268EB">
      <w:pPr>
        <w:pStyle w:val="xFootnotes"/>
        <w:ind w:firstLine="0"/>
        <w:rPr>
          <w:rStyle w:val="Italics"/>
          <w:i w:val="0"/>
        </w:rPr>
      </w:pPr>
      <w:r w:rsidRPr="00E63B74">
        <w:rPr>
          <w:rStyle w:val="Italics"/>
        </w:rPr>
        <w:t>(Commonwealth of Australia 1995, p. v [Glossary]</w:t>
      </w:r>
      <w:r w:rsidRPr="00A04519">
        <w:rPr>
          <w:rStyle w:val="Italics"/>
        </w:rPr>
        <w:t>)</w:t>
      </w:r>
    </w:p>
  </w:footnote>
  <w:footnote w:id="4">
    <w:p w:rsidR="008268EB" w:rsidRPr="000A04C7" w:rsidRDefault="008268EB" w:rsidP="008268EB">
      <w:pPr>
        <w:pStyle w:val="xFootnotes"/>
      </w:pPr>
      <w:r w:rsidRPr="00E63B74">
        <w:footnoteRef/>
      </w:r>
      <w:r w:rsidRPr="000A04C7">
        <w:t xml:space="preserve"> </w:t>
      </w:r>
      <w:r>
        <w:tab/>
      </w:r>
      <w:r w:rsidRPr="000A04C7">
        <w:t>https://www.environment.gov.au/land/nrs/science/capad</w:t>
      </w:r>
    </w:p>
  </w:footnote>
  <w:footnote w:id="5">
    <w:p w:rsidR="008268EB" w:rsidRDefault="008268EB" w:rsidP="008268EB">
      <w:pPr>
        <w:pStyle w:val="xFootnotes"/>
      </w:pPr>
      <w:r w:rsidRPr="00E63B74">
        <w:footnoteRef/>
      </w:r>
      <w:r w:rsidRPr="006E425F">
        <w:t xml:space="preserve"> </w:t>
      </w:r>
      <w:r>
        <w:tab/>
      </w:r>
      <w:r w:rsidRPr="00E42B88">
        <w:t>‘Change in suitable habitat’ (CSH) is a measure for estimating the benefit to a species or suite of species present at a location</w:t>
      </w:r>
      <w:r>
        <w:t xml:space="preserve"> from a specific management action or in-action</w:t>
      </w:r>
      <w:r w:rsidRPr="00E42B88">
        <w:t xml:space="preserve">. It is a composite measure, which reflects how the quality as well as the extent of habitat will improve over a 50-year timeframe. It is a key metric used within the Victorian Government’s Strategic Management Prospects (SMP) tool - a decision-support tool that uses spatial models on species distributions, information on key biodiversity threats, cost information for key management actions which address those threats and expert elicited response models for thousands of species to different management actions. </w:t>
      </w:r>
    </w:p>
  </w:footnote>
  <w:footnote w:id="6">
    <w:p w:rsidR="008268EB" w:rsidRPr="00774AEA" w:rsidRDefault="008268EB" w:rsidP="008268EB">
      <w:pPr>
        <w:pStyle w:val="xFootnotes"/>
      </w:pPr>
      <w:r w:rsidRPr="00E63B74">
        <w:footnoteRef/>
      </w:r>
      <w:r w:rsidRPr="00774AEA">
        <w:t xml:space="preserve"> </w:t>
      </w:r>
      <w:r>
        <w:tab/>
      </w:r>
      <w:hyperlink r:id="rId1" w:history="1">
        <w:r w:rsidRPr="00811831">
          <w:rPr>
            <w:rStyle w:val="Hyperlink"/>
          </w:rPr>
          <w:t>https://www.environment.vic.gov.au/biodiversity/biodiversity-response-planning</w:t>
        </w:r>
      </w:hyperlink>
      <w:r>
        <w:tab/>
      </w:r>
      <w:r w:rsidRPr="00774AEA">
        <w:t xml:space="preserve"> </w:t>
      </w:r>
    </w:p>
  </w:footnote>
  <w:footnote w:id="7">
    <w:p w:rsidR="008268EB" w:rsidRPr="00645EF1" w:rsidRDefault="008268EB" w:rsidP="008268EB">
      <w:pPr>
        <w:pStyle w:val="xFootnotes"/>
      </w:pPr>
      <w:r w:rsidRPr="00E63B74">
        <w:footnoteRef/>
      </w:r>
      <w:r w:rsidRPr="00645EF1">
        <w:t xml:space="preserve"> </w:t>
      </w:r>
      <w:r>
        <w:tab/>
      </w:r>
      <w:r w:rsidRPr="00645EF1">
        <w:t xml:space="preserve">Refers to flora species listed as rare or threatened under FFG Act, </w:t>
      </w:r>
      <w:r w:rsidRPr="00E63B74">
        <w:rPr>
          <w:rStyle w:val="Italics"/>
        </w:rPr>
        <w:t>Endangered Species Protection Act 1992</w:t>
      </w:r>
      <w:r>
        <w:rPr>
          <w:rStyle w:val="Italics"/>
          <w:iCs/>
        </w:rPr>
        <w:t xml:space="preserve"> (</w:t>
      </w:r>
      <w:r>
        <w:rPr>
          <w:rStyle w:val="Italics"/>
          <w:iCs/>
        </w:rPr>
        <w:t>Cth)</w:t>
      </w:r>
      <w:r w:rsidRPr="00645EF1">
        <w:t>, Victorian Rare or Threatened Species list for plants (VROTs), and Victorian Rare or Threatened Australian Plants (ROTAP).</w:t>
      </w:r>
    </w:p>
  </w:footnote>
  <w:footnote w:id="8">
    <w:p w:rsidR="008268EB" w:rsidRDefault="008268EB" w:rsidP="008268EB">
      <w:pPr>
        <w:pStyle w:val="FootnoteText"/>
      </w:pPr>
      <w:r>
        <w:rPr>
          <w:rStyle w:val="FootnoteReference"/>
        </w:rPr>
        <w:footnoteRef/>
      </w:r>
      <w:r>
        <w:t xml:space="preserve"> </w:t>
      </w:r>
      <w:r w:rsidRPr="00D22AA0">
        <w:t xml:space="preserve">More information on this project or the Weeds and Pests on Public Land </w:t>
      </w:r>
      <w:r>
        <w:t>P</w:t>
      </w:r>
      <w:r w:rsidRPr="00D22AA0">
        <w:t xml:space="preserve">rogram is available at </w:t>
      </w:r>
      <w:hyperlink r:id="rId2" w:history="1">
        <w:r w:rsidRPr="00D22AA0">
          <w:t>www.environment.vic.gov.au/weeds-and-pests</w:t>
        </w:r>
      </w:hyperlink>
      <w:r>
        <w:t>.</w:t>
      </w:r>
      <w:r w:rsidRPr="00D22AA0">
        <w:t xml:space="preserve"> </w:t>
      </w:r>
    </w:p>
  </w:footnote>
  <w:footnote w:id="9">
    <w:p w:rsidR="008268EB" w:rsidRDefault="008268EB" w:rsidP="008268EB">
      <w:pPr>
        <w:pStyle w:val="FootnoteText"/>
      </w:pPr>
      <w:r>
        <w:rPr>
          <w:rStyle w:val="FootnoteReference"/>
        </w:rPr>
        <w:footnoteRef/>
      </w:r>
      <w:r>
        <w:t xml:space="preserve"> See the criteria evaluated for listing on the National Estate </w:t>
      </w:r>
      <w:hyperlink r:id="rId3" w:history="1">
        <w:r>
          <w:rPr>
            <w:rStyle w:val="Hyperlink"/>
          </w:rPr>
          <w:t>https://www.environment.gov.au/system/files/resources/8b50f335-42e8-4599-b5e0-ac643f75475f/files/nhl-guidelines.pdf</w:t>
        </w:r>
      </w:hyperlink>
    </w:p>
  </w:footnote>
  <w:footnote w:id="10">
    <w:p w:rsidR="008268EB" w:rsidRDefault="008268EB" w:rsidP="008268EB">
      <w:pPr>
        <w:pStyle w:val="FootnoteText"/>
      </w:pPr>
      <w:r w:rsidRPr="00A0618C">
        <w:rPr>
          <w:rStyle w:val="FootnoteReference"/>
          <w:szCs w:val="18"/>
        </w:rPr>
        <w:footnoteRef/>
      </w:r>
      <w:r>
        <w:t xml:space="preserve"> </w:t>
      </w:r>
      <w:r w:rsidRPr="00A0618C">
        <w:t>More information on these listing can be found at http://www.environment.gov.au/heritage/heritage-places.</w:t>
      </w:r>
    </w:p>
  </w:footnote>
  <w:footnote w:id="11">
    <w:p w:rsidR="008268EB" w:rsidRPr="00037380" w:rsidRDefault="008268EB" w:rsidP="008268EB">
      <w:pPr>
        <w:pStyle w:val="xFootnotes"/>
      </w:pPr>
      <w:r w:rsidRPr="00E63B74">
        <w:footnoteRef/>
      </w:r>
      <w:r w:rsidRPr="00037380">
        <w:t xml:space="preserve"> </w:t>
      </w:r>
      <w:r>
        <w:tab/>
      </w:r>
      <w:r w:rsidRPr="00037380">
        <w:t xml:space="preserve">See </w:t>
      </w:r>
      <w:hyperlink r:id="rId4" w:history="1">
        <w:r w:rsidRPr="00037380">
          <w:rPr>
            <w:rStyle w:val="Hyperlink"/>
          </w:rPr>
          <w:t>https://www.environment.gov.au/heritage/about/national/managing-national-heritage-places</w:t>
        </w:r>
      </w:hyperlink>
    </w:p>
  </w:footnote>
  <w:footnote w:id="12">
    <w:p w:rsidR="008268EB" w:rsidRPr="0024434E" w:rsidRDefault="008268EB" w:rsidP="008268EB">
      <w:pPr>
        <w:pStyle w:val="xFootnotes"/>
      </w:pPr>
      <w:r w:rsidRPr="00E63B74">
        <w:footnoteRef/>
      </w:r>
      <w:r w:rsidRPr="0024434E">
        <w:t xml:space="preserve"> </w:t>
      </w:r>
      <w:r>
        <w:tab/>
      </w:r>
      <w:r w:rsidRPr="0024434E">
        <w:t xml:space="preserve">See </w:t>
      </w:r>
      <w:hyperlink r:id="rId5" w:history="1">
        <w:r w:rsidRPr="0024434E">
          <w:rPr>
            <w:rStyle w:val="Hyperlink"/>
          </w:rPr>
          <w:t>https://www.environment.gov.au/heritage/publications/australian-heritage-database</w:t>
        </w:r>
      </w:hyperlink>
    </w:p>
  </w:footnote>
  <w:footnote w:id="13">
    <w:p w:rsidR="008268EB" w:rsidRDefault="008268EB" w:rsidP="008268EB">
      <w:pPr>
        <w:pStyle w:val="xFootnotes"/>
      </w:pPr>
      <w:r w:rsidRPr="00E63B74">
        <w:footnoteRef/>
      </w:r>
      <w:r w:rsidRPr="001F1FEA">
        <w:t xml:space="preserve"> </w:t>
      </w:r>
      <w:r>
        <w:tab/>
      </w:r>
      <w:r w:rsidRPr="001F1FEA">
        <w:t xml:space="preserve">See </w:t>
      </w:r>
      <w:hyperlink r:id="rId6" w:history="1">
        <w:r w:rsidRPr="001F1FEA">
          <w:rPr>
            <w:rStyle w:val="Hyperlink"/>
          </w:rPr>
          <w:t>https://heritagecouncil.vic.gov.au/heritage-protection/levels-of-protection/</w:t>
        </w:r>
      </w:hyperlink>
    </w:p>
  </w:footnote>
  <w:footnote w:id="14">
    <w:p w:rsidR="00896E96" w:rsidRPr="001F1FEA" w:rsidRDefault="00896E96" w:rsidP="00896E96">
      <w:pPr>
        <w:pStyle w:val="xFootnotes"/>
      </w:pPr>
      <w:r w:rsidRPr="00E63B74">
        <w:footnoteRef/>
      </w:r>
      <w:r w:rsidRPr="001F1FEA">
        <w:t xml:space="preserve"> </w:t>
      </w:r>
      <w:r>
        <w:tab/>
      </w:r>
      <w:r w:rsidRPr="001F1FEA">
        <w:t xml:space="preserve">See section 42 of the EPBC Act.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FB68480"/>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37482A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D1007D6E"/>
    <w:lvl w:ilvl="0">
      <w:start w:val="1"/>
      <w:numFmt w:val="decimal"/>
      <w:pStyle w:val="ListNumber"/>
      <w:lvlText w:val="%1."/>
      <w:lvlJc w:val="left"/>
      <w:pPr>
        <w:tabs>
          <w:tab w:val="num" w:pos="360"/>
        </w:tabs>
        <w:ind w:left="360" w:hanging="360"/>
      </w:pPr>
    </w:lvl>
  </w:abstractNum>
  <w:abstractNum w:abstractNumId="4" w15:restartNumberingAfterBreak="0">
    <w:nsid w:val="FFFFFFFE"/>
    <w:multiLevelType w:val="singleLevel"/>
    <w:tmpl w:val="FFFFFFFF"/>
    <w:lvl w:ilvl="0">
      <w:numFmt w:val="decimal"/>
      <w:pStyle w:val="lastdot"/>
      <w:lvlText w:val="*"/>
      <w:lvlJc w:val="left"/>
    </w:lvl>
  </w:abstractNum>
  <w:abstractNum w:abstractNumId="5" w15:restartNumberingAfterBreak="0">
    <w:nsid w:val="06E51DBD"/>
    <w:multiLevelType w:val="multilevel"/>
    <w:tmpl w:val="46C45934"/>
    <w:styleLink w:val="NRCListBullets"/>
    <w:lvl w:ilvl="0">
      <w:start w:val="1"/>
      <w:numFmt w:val="bullet"/>
      <w:pStyle w:val="Bullets"/>
      <w:lvlText w:val=""/>
      <w:lvlJc w:val="left"/>
      <w:pPr>
        <w:tabs>
          <w:tab w:val="num" w:pos="567"/>
        </w:tabs>
        <w:ind w:left="567" w:hanging="567"/>
      </w:pPr>
      <w:rPr>
        <w:rFonts w:ascii="Wingdings" w:hAnsi="Wingdings" w:hint="default"/>
        <w:sz w:val="20"/>
      </w:rPr>
    </w:lvl>
    <w:lvl w:ilvl="1">
      <w:start w:val="1"/>
      <w:numFmt w:val="bullet"/>
      <w:lvlText w:val="-"/>
      <w:lvlJc w:val="left"/>
      <w:pPr>
        <w:tabs>
          <w:tab w:val="num" w:pos="1134"/>
        </w:tabs>
        <w:ind w:left="1134" w:hanging="567"/>
      </w:pPr>
      <w:rPr>
        <w:rFonts w:ascii="Arial" w:hAnsi="Arial" w:hint="default"/>
      </w:rPr>
    </w:lvl>
    <w:lvl w:ilvl="2">
      <w:start w:val="1"/>
      <w:numFmt w:val="bullet"/>
      <w:lvlText w:val=""/>
      <w:lvlJc w:val="left"/>
      <w:pPr>
        <w:tabs>
          <w:tab w:val="num" w:pos="1701"/>
        </w:tabs>
        <w:ind w:left="1701" w:hanging="567"/>
      </w:pPr>
      <w:rPr>
        <w:rFonts w:ascii="Symbol" w:hAnsi="Symbol" w:hint="default"/>
        <w:color w:val="auto"/>
        <w:sz w:val="18"/>
      </w:rPr>
    </w:lvl>
    <w:lvl w:ilvl="3">
      <w:start w:val="1"/>
      <w:numFmt w:val="none"/>
      <w:lvlText w:val=""/>
      <w:lvlJc w:val="left"/>
      <w:pPr>
        <w:tabs>
          <w:tab w:val="num" w:pos="2268"/>
        </w:tabs>
        <w:ind w:left="1701" w:hanging="567"/>
      </w:pPr>
      <w:rPr>
        <w:rFonts w:hint="default"/>
      </w:rPr>
    </w:lvl>
    <w:lvl w:ilvl="4">
      <w:start w:val="1"/>
      <w:numFmt w:val="none"/>
      <w:lvlText w:val=""/>
      <w:lvlJc w:val="left"/>
      <w:pPr>
        <w:tabs>
          <w:tab w:val="num" w:pos="2835"/>
        </w:tabs>
        <w:ind w:left="1701" w:hanging="567"/>
      </w:pPr>
      <w:rPr>
        <w:rFonts w:hint="default"/>
      </w:rPr>
    </w:lvl>
    <w:lvl w:ilvl="5">
      <w:start w:val="1"/>
      <w:numFmt w:val="none"/>
      <w:lvlText w:val=""/>
      <w:lvlJc w:val="left"/>
      <w:pPr>
        <w:tabs>
          <w:tab w:val="num" w:pos="3402"/>
        </w:tabs>
        <w:ind w:left="1701" w:hanging="567"/>
      </w:pPr>
      <w:rPr>
        <w:rFonts w:hint="default"/>
      </w:rPr>
    </w:lvl>
    <w:lvl w:ilvl="6">
      <w:start w:val="1"/>
      <w:numFmt w:val="none"/>
      <w:lvlText w:val=""/>
      <w:lvlJc w:val="left"/>
      <w:pPr>
        <w:tabs>
          <w:tab w:val="num" w:pos="3969"/>
        </w:tabs>
        <w:ind w:left="1701" w:hanging="567"/>
      </w:pPr>
      <w:rPr>
        <w:rFonts w:hint="default"/>
      </w:rPr>
    </w:lvl>
    <w:lvl w:ilvl="7">
      <w:start w:val="1"/>
      <w:numFmt w:val="none"/>
      <w:lvlText w:val=""/>
      <w:lvlJc w:val="left"/>
      <w:pPr>
        <w:tabs>
          <w:tab w:val="num" w:pos="4536"/>
        </w:tabs>
        <w:ind w:left="1701" w:hanging="567"/>
      </w:pPr>
      <w:rPr>
        <w:rFonts w:hint="default"/>
      </w:rPr>
    </w:lvl>
    <w:lvl w:ilvl="8">
      <w:start w:val="1"/>
      <w:numFmt w:val="none"/>
      <w:lvlText w:val=""/>
      <w:lvlJc w:val="left"/>
      <w:pPr>
        <w:tabs>
          <w:tab w:val="num" w:pos="5103"/>
        </w:tabs>
        <w:ind w:left="1701" w:hanging="567"/>
      </w:pPr>
      <w:rPr>
        <w:rFonts w:hint="default"/>
      </w:rPr>
    </w:lvl>
  </w:abstractNum>
  <w:abstractNum w:abstractNumId="6" w15:restartNumberingAfterBreak="0">
    <w:nsid w:val="0CA078E7"/>
    <w:multiLevelType w:val="hybridMultilevel"/>
    <w:tmpl w:val="D0D2B796"/>
    <w:lvl w:ilvl="0" w:tplc="AC90C0DE">
      <w:start w:val="1"/>
      <w:numFmt w:val="lowerLetter"/>
      <w:pStyle w:val="xNumberedlista"/>
      <w:lvlText w:val="%1."/>
      <w:lvlJc w:val="left"/>
      <w:pPr>
        <w:ind w:left="885" w:hanging="5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13EC090A"/>
    <w:multiLevelType w:val="hybridMultilevel"/>
    <w:tmpl w:val="088ADDE4"/>
    <w:lvl w:ilvl="0" w:tplc="D570D40A">
      <w:start w:val="1"/>
      <w:numFmt w:val="decimal"/>
      <w:pStyle w:val="Appendix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482CCA"/>
    <w:multiLevelType w:val="hybridMultilevel"/>
    <w:tmpl w:val="0CDA5240"/>
    <w:styleLink w:val="ListNumbers"/>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0E3170"/>
    <w:multiLevelType w:val="hybridMultilevel"/>
    <w:tmpl w:val="923ED45E"/>
    <w:lvl w:ilvl="0" w:tplc="0C090001">
      <w:start w:val="1"/>
      <w:numFmt w:val="bullet"/>
      <w:lvlText w:val=""/>
      <w:lvlJc w:val="left"/>
      <w:pPr>
        <w:ind w:left="1874" w:hanging="360"/>
      </w:pPr>
      <w:rPr>
        <w:rFonts w:ascii="Symbol" w:hAnsi="Symbol" w:hint="default"/>
      </w:rPr>
    </w:lvl>
    <w:lvl w:ilvl="1" w:tplc="0C090003" w:tentative="1">
      <w:start w:val="1"/>
      <w:numFmt w:val="bullet"/>
      <w:lvlText w:val="o"/>
      <w:lvlJc w:val="left"/>
      <w:pPr>
        <w:ind w:left="2594" w:hanging="360"/>
      </w:pPr>
      <w:rPr>
        <w:rFonts w:ascii="Courier New" w:hAnsi="Courier New" w:cs="Courier New" w:hint="default"/>
      </w:rPr>
    </w:lvl>
    <w:lvl w:ilvl="2" w:tplc="0C090005" w:tentative="1">
      <w:start w:val="1"/>
      <w:numFmt w:val="bullet"/>
      <w:lvlText w:val=""/>
      <w:lvlJc w:val="left"/>
      <w:pPr>
        <w:ind w:left="3314" w:hanging="360"/>
      </w:pPr>
      <w:rPr>
        <w:rFonts w:ascii="Wingdings" w:hAnsi="Wingdings" w:hint="default"/>
      </w:rPr>
    </w:lvl>
    <w:lvl w:ilvl="3" w:tplc="0C090001" w:tentative="1">
      <w:start w:val="1"/>
      <w:numFmt w:val="bullet"/>
      <w:lvlText w:val=""/>
      <w:lvlJc w:val="left"/>
      <w:pPr>
        <w:ind w:left="4034" w:hanging="360"/>
      </w:pPr>
      <w:rPr>
        <w:rFonts w:ascii="Symbol" w:hAnsi="Symbol" w:hint="default"/>
      </w:rPr>
    </w:lvl>
    <w:lvl w:ilvl="4" w:tplc="0C090003" w:tentative="1">
      <w:start w:val="1"/>
      <w:numFmt w:val="bullet"/>
      <w:lvlText w:val="o"/>
      <w:lvlJc w:val="left"/>
      <w:pPr>
        <w:ind w:left="4754" w:hanging="360"/>
      </w:pPr>
      <w:rPr>
        <w:rFonts w:ascii="Courier New" w:hAnsi="Courier New" w:cs="Courier New" w:hint="default"/>
      </w:rPr>
    </w:lvl>
    <w:lvl w:ilvl="5" w:tplc="0C090005" w:tentative="1">
      <w:start w:val="1"/>
      <w:numFmt w:val="bullet"/>
      <w:lvlText w:val=""/>
      <w:lvlJc w:val="left"/>
      <w:pPr>
        <w:ind w:left="5474" w:hanging="360"/>
      </w:pPr>
      <w:rPr>
        <w:rFonts w:ascii="Wingdings" w:hAnsi="Wingdings" w:hint="default"/>
      </w:rPr>
    </w:lvl>
    <w:lvl w:ilvl="6" w:tplc="0C090001" w:tentative="1">
      <w:start w:val="1"/>
      <w:numFmt w:val="bullet"/>
      <w:lvlText w:val=""/>
      <w:lvlJc w:val="left"/>
      <w:pPr>
        <w:ind w:left="6194" w:hanging="360"/>
      </w:pPr>
      <w:rPr>
        <w:rFonts w:ascii="Symbol" w:hAnsi="Symbol" w:hint="default"/>
      </w:rPr>
    </w:lvl>
    <w:lvl w:ilvl="7" w:tplc="0C090003" w:tentative="1">
      <w:start w:val="1"/>
      <w:numFmt w:val="bullet"/>
      <w:lvlText w:val="o"/>
      <w:lvlJc w:val="left"/>
      <w:pPr>
        <w:ind w:left="6914" w:hanging="360"/>
      </w:pPr>
      <w:rPr>
        <w:rFonts w:ascii="Courier New" w:hAnsi="Courier New" w:cs="Courier New" w:hint="default"/>
      </w:rPr>
    </w:lvl>
    <w:lvl w:ilvl="8" w:tplc="0C090005" w:tentative="1">
      <w:start w:val="1"/>
      <w:numFmt w:val="bullet"/>
      <w:lvlText w:val=""/>
      <w:lvlJc w:val="left"/>
      <w:pPr>
        <w:ind w:left="7634" w:hanging="360"/>
      </w:pPr>
      <w:rPr>
        <w:rFonts w:ascii="Wingdings" w:hAnsi="Wingdings" w:hint="default"/>
      </w:rPr>
    </w:lvl>
  </w:abstractNum>
  <w:abstractNum w:abstractNumId="15" w15:restartNumberingAfterBreak="0">
    <w:nsid w:val="1C192584"/>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pStyle w:val="FooterBanner"/>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9B424C4"/>
    <w:multiLevelType w:val="hybridMultilevel"/>
    <w:tmpl w:val="74845B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2D1C56DE"/>
    <w:multiLevelType w:val="singleLevel"/>
    <w:tmpl w:val="94805B1A"/>
    <w:lvl w:ilvl="0">
      <w:start w:val="1"/>
      <w:numFmt w:val="decimal"/>
      <w:pStyle w:val="number"/>
      <w:lvlText w:val="%1."/>
      <w:lvlJc w:val="left"/>
      <w:pPr>
        <w:tabs>
          <w:tab w:val="num" w:pos="360"/>
        </w:tabs>
        <w:ind w:left="360" w:hanging="360"/>
      </w:pPr>
      <w:rPr>
        <w:b w:val="0"/>
        <w:i w:val="0"/>
      </w:rPr>
    </w:lvl>
  </w:abstractNum>
  <w:abstractNum w:abstractNumId="2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CA308A8"/>
    <w:multiLevelType w:val="singleLevel"/>
    <w:tmpl w:val="E4BC7D12"/>
    <w:lvl w:ilvl="0">
      <w:start w:val="1"/>
      <w:numFmt w:val="bullet"/>
      <w:pStyle w:val="Doubledot"/>
      <w:lvlText w:val="·"/>
      <w:lvlJc w:val="left"/>
      <w:pPr>
        <w:tabs>
          <w:tab w:val="num" w:pos="1276"/>
        </w:tabs>
        <w:ind w:left="1276" w:hanging="425"/>
      </w:pPr>
      <w:rPr>
        <w:rFonts w:ascii="Times New Roman" w:hAnsi="Times New Roman" w:hint="default"/>
      </w:rPr>
    </w:lvl>
  </w:abstractNum>
  <w:abstractNum w:abstractNumId="22" w15:restartNumberingAfterBreak="0">
    <w:nsid w:val="3CFD75B0"/>
    <w:multiLevelType w:val="hybridMultilevel"/>
    <w:tmpl w:val="CD18CCE8"/>
    <w:styleLink w:val="1a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FC011A"/>
    <w:multiLevelType w:val="hybridMultilevel"/>
    <w:tmpl w:val="FB4C2E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4F1710"/>
    <w:multiLevelType w:val="hybridMultilevel"/>
    <w:tmpl w:val="C12C6D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A31C8C"/>
    <w:multiLevelType w:val="singleLevel"/>
    <w:tmpl w:val="BC5E0738"/>
    <w:lvl w:ilvl="0">
      <w:start w:val="1"/>
      <w:numFmt w:val="decimal"/>
      <w:pStyle w:val="attachpara"/>
      <w:lvlText w:val="%1."/>
      <w:lvlJc w:val="left"/>
      <w:pPr>
        <w:tabs>
          <w:tab w:val="num" w:pos="360"/>
        </w:tabs>
        <w:ind w:left="0" w:firstLine="0"/>
      </w:pPr>
      <w:rPr>
        <w:rFonts w:ascii="Times New Roman" w:hAnsi="Times New Roman" w:hint="default"/>
        <w:b w:val="0"/>
        <w:i w:val="0"/>
        <w:sz w:val="24"/>
      </w:rPr>
    </w:lvl>
  </w:abstractNum>
  <w:abstractNum w:abstractNumId="28" w15:restartNumberingAfterBreak="0">
    <w:nsid w:val="4D545EC4"/>
    <w:multiLevelType w:val="multilevel"/>
    <w:tmpl w:val="5F329C6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4E7D5687"/>
    <w:multiLevelType w:val="hybridMultilevel"/>
    <w:tmpl w:val="E4D41564"/>
    <w:lvl w:ilvl="0" w:tplc="12BE7190">
      <w:start w:val="1"/>
      <w:numFmt w:val="bullet"/>
      <w:pStyle w:val="x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F60C00"/>
    <w:multiLevelType w:val="hybridMultilevel"/>
    <w:tmpl w:val="23EECE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3B51355"/>
    <w:multiLevelType w:val="singleLevel"/>
    <w:tmpl w:val="02E8FD72"/>
    <w:lvl w:ilvl="0">
      <w:start w:val="1"/>
      <w:numFmt w:val="bullet"/>
      <w:pStyle w:val="dotpoint"/>
      <w:lvlText w:val=""/>
      <w:lvlJc w:val="left"/>
      <w:pPr>
        <w:tabs>
          <w:tab w:val="num" w:pos="360"/>
        </w:tabs>
        <w:ind w:left="360" w:hanging="360"/>
      </w:pPr>
      <w:rPr>
        <w:rFonts w:ascii="Symbol" w:hAnsi="Symbol" w:hint="default"/>
      </w:rPr>
    </w:lvl>
  </w:abstractNum>
  <w:abstractNum w:abstractNumId="32" w15:restartNumberingAfterBreak="0">
    <w:nsid w:val="53CD3257"/>
    <w:multiLevelType w:val="hybridMultilevel"/>
    <w:tmpl w:val="CA34AE3C"/>
    <w:styleLink w:val="Appendix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0F7AE4"/>
    <w:multiLevelType w:val="hybridMultilevel"/>
    <w:tmpl w:val="2CA8B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D049B6"/>
    <w:multiLevelType w:val="singleLevel"/>
    <w:tmpl w:val="F9B42AA8"/>
    <w:lvl w:ilvl="0">
      <w:start w:val="1"/>
      <w:numFmt w:val="bullet"/>
      <w:pStyle w:val="Dash"/>
      <w:lvlText w:val=""/>
      <w:lvlJc w:val="left"/>
      <w:pPr>
        <w:tabs>
          <w:tab w:val="num" w:pos="360"/>
        </w:tabs>
        <w:ind w:left="360" w:hanging="360"/>
      </w:pPr>
      <w:rPr>
        <w:rFonts w:ascii="Symbol" w:hAnsi="Symbol" w:hint="default"/>
      </w:rPr>
    </w:lvl>
  </w:abstractNum>
  <w:abstractNum w:abstractNumId="35" w15:restartNumberingAfterBreak="0">
    <w:nsid w:val="59BD6C15"/>
    <w:multiLevelType w:val="hybridMultilevel"/>
    <w:tmpl w:val="86B437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9DE6200"/>
    <w:multiLevelType w:val="hybridMultilevel"/>
    <w:tmpl w:val="A91E6C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A3B4AB9"/>
    <w:multiLevelType w:val="hybridMultilevel"/>
    <w:tmpl w:val="29B6850C"/>
    <w:lvl w:ilvl="0" w:tplc="FFFFFFFF">
      <w:start w:val="1"/>
      <w:numFmt w:val="decimal"/>
      <w:pStyle w:val="SO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F51EC7"/>
    <w:multiLevelType w:val="hybridMultilevel"/>
    <w:tmpl w:val="1266582C"/>
    <w:styleLink w:val="Headings"/>
    <w:lvl w:ilvl="0" w:tplc="277E828C">
      <w:start w:val="1"/>
      <w:numFmt w:val="bullet"/>
      <w:pStyle w:val="xQuote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9"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5E8A234A"/>
    <w:multiLevelType w:val="hybridMultilevel"/>
    <w:tmpl w:val="14BCB45E"/>
    <w:styleLink w:val="List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5A66AF"/>
    <w:multiLevelType w:val="multilevel"/>
    <w:tmpl w:val="6EAA0306"/>
    <w:lvl w:ilvl="0">
      <w:start w:val="1"/>
      <w:numFmt w:val="upperLetter"/>
      <w:pStyle w:val="rfa1"/>
      <w:lvlText w:val="%1"/>
      <w:lvlJc w:val="left"/>
      <w:pPr>
        <w:tabs>
          <w:tab w:val="num" w:pos="360"/>
        </w:tabs>
        <w:ind w:left="0" w:firstLine="0"/>
      </w:pPr>
    </w:lvl>
    <w:lvl w:ilvl="1">
      <w:start w:val="1"/>
      <w:numFmt w:val="bullet"/>
      <w:pStyle w:val="rfa2"/>
      <w:lvlText w:val=""/>
      <w:lvlJc w:val="left"/>
      <w:pPr>
        <w:tabs>
          <w:tab w:val="num" w:pos="567"/>
        </w:tabs>
        <w:ind w:left="567" w:hanging="567"/>
      </w:pPr>
      <w:rPr>
        <w:rFonts w:ascii="Symbol" w:hAnsi="Symbol" w:hint="default"/>
      </w:rPr>
    </w:lvl>
    <w:lvl w:ilvl="2">
      <w:start w:val="1"/>
      <w:numFmt w:val="lowerLetter"/>
      <w:lvlRestart w:val="0"/>
      <w:pStyle w:val="rfa3"/>
      <w:lvlText w:val="(%3)"/>
      <w:lvlJc w:val="left"/>
      <w:pPr>
        <w:tabs>
          <w:tab w:val="num" w:pos="1134"/>
        </w:tabs>
        <w:ind w:left="1134" w:hanging="567"/>
      </w:pPr>
    </w:lvl>
    <w:lvl w:ilvl="3">
      <w:start w:val="1"/>
      <w:numFmt w:val="decimal"/>
      <w:lvlRestart w:val="0"/>
      <w:pStyle w:val="rfa4"/>
      <w:lvlText w:val="%4."/>
      <w:lvlJc w:val="left"/>
      <w:pPr>
        <w:tabs>
          <w:tab w:val="num" w:pos="360"/>
        </w:tabs>
        <w:ind w:left="0" w:firstLine="0"/>
      </w:pPr>
    </w:lvl>
    <w:lvl w:ilvl="4">
      <w:start w:val="1"/>
      <w:numFmt w:val="none"/>
      <w:pStyle w:val="rfa5"/>
      <w:lvlText w:val=""/>
      <w:lvlJc w:val="left"/>
      <w:pPr>
        <w:tabs>
          <w:tab w:val="num" w:pos="567"/>
        </w:tabs>
        <w:ind w:left="567" w:hanging="567"/>
      </w:pPr>
    </w:lvl>
    <w:lvl w:ilvl="5">
      <w:start w:val="1"/>
      <w:numFmt w:val="lowerLetter"/>
      <w:pStyle w:val="rfa6"/>
      <w:lvlText w:val="(%6)"/>
      <w:lvlJc w:val="left"/>
      <w:pPr>
        <w:tabs>
          <w:tab w:val="num" w:pos="567"/>
        </w:tabs>
        <w:ind w:left="567" w:hanging="567"/>
      </w:pPr>
    </w:lvl>
    <w:lvl w:ilvl="6">
      <w:start w:val="1"/>
      <w:numFmt w:val="decimal"/>
      <w:lvlRestart w:val="0"/>
      <w:pStyle w:val="rfa7"/>
      <w:lvlText w:val="%4.%7."/>
      <w:lvlJc w:val="left"/>
      <w:pPr>
        <w:tabs>
          <w:tab w:val="num" w:pos="360"/>
        </w:tabs>
        <w:ind w:left="0" w:firstLine="0"/>
      </w:pPr>
    </w:lvl>
    <w:lvl w:ilvl="7">
      <w:start w:val="1"/>
      <w:numFmt w:val="lowerRoman"/>
      <w:pStyle w:val="rfa8"/>
      <w:lvlText w:val="(%8)"/>
      <w:lvlJc w:val="left"/>
      <w:pPr>
        <w:tabs>
          <w:tab w:val="num" w:pos="1287"/>
        </w:tabs>
        <w:ind w:left="1134" w:hanging="567"/>
      </w:pPr>
    </w:lvl>
    <w:lvl w:ilvl="8">
      <w:start w:val="1"/>
      <w:numFmt w:val="decimal"/>
      <w:pStyle w:val="rfa9"/>
      <w:lvlText w:val="(%9)"/>
      <w:lvlJc w:val="left"/>
      <w:pPr>
        <w:tabs>
          <w:tab w:val="num" w:pos="1701"/>
        </w:tabs>
        <w:ind w:left="1701" w:hanging="567"/>
      </w:pPr>
    </w:lvl>
  </w:abstractNum>
  <w:abstractNum w:abstractNumId="42" w15:restartNumberingAfterBreak="0">
    <w:nsid w:val="6C0C490C"/>
    <w:multiLevelType w:val="hybridMultilevel"/>
    <w:tmpl w:val="E2FA56EA"/>
    <w:lvl w:ilvl="0" w:tplc="B8CAAA3C">
      <w:start w:val="1"/>
      <w:numFmt w:val="bullet"/>
      <w:pStyle w:val="SOELis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6E9C3611"/>
    <w:multiLevelType w:val="hybridMultilevel"/>
    <w:tmpl w:val="B8FE74B2"/>
    <w:styleLink w:val="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09C66DD"/>
    <w:multiLevelType w:val="hybridMultilevel"/>
    <w:tmpl w:val="FF6EA2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1FC258F"/>
    <w:multiLevelType w:val="hybridMultilevel"/>
    <w:tmpl w:val="4A287024"/>
    <w:styleLink w:val="Appendix"/>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78E4DE0"/>
    <w:multiLevelType w:val="hybridMultilevel"/>
    <w:tmpl w:val="7FCC36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7"/>
  </w:num>
  <w:num w:numId="2">
    <w:abstractNumId w:val="9"/>
  </w:num>
  <w:num w:numId="3">
    <w:abstractNumId w:val="2"/>
  </w:num>
  <w:num w:numId="4">
    <w:abstractNumId w:val="3"/>
  </w:num>
  <w:num w:numId="5">
    <w:abstractNumId w:val="5"/>
  </w:num>
  <w:num w:numId="6">
    <w:abstractNumId w:val="42"/>
  </w:num>
  <w:num w:numId="7">
    <w:abstractNumId w:val="37"/>
  </w:num>
  <w:num w:numId="8">
    <w:abstractNumId w:val="1"/>
  </w:num>
  <w:num w:numId="9">
    <w:abstractNumId w:val="26"/>
  </w:num>
  <w:num w:numId="10">
    <w:abstractNumId w:val="13"/>
  </w:num>
  <w:num w:numId="11">
    <w:abstractNumId w:val="15"/>
  </w:num>
  <w:num w:numId="12">
    <w:abstractNumId w:val="0"/>
  </w:num>
  <w:num w:numId="13">
    <w:abstractNumId w:val="38"/>
  </w:num>
  <w:num w:numId="14">
    <w:abstractNumId w:val="22"/>
  </w:num>
  <w:num w:numId="15">
    <w:abstractNumId w:val="43"/>
  </w:num>
  <w:num w:numId="16">
    <w:abstractNumId w:val="39"/>
  </w:num>
  <w:num w:numId="17">
    <w:abstractNumId w:val="18"/>
  </w:num>
  <w:num w:numId="18">
    <w:abstractNumId w:val="8"/>
  </w:num>
  <w:num w:numId="19">
    <w:abstractNumId w:val="45"/>
  </w:num>
  <w:num w:numId="20">
    <w:abstractNumId w:val="12"/>
  </w:num>
  <w:num w:numId="21">
    <w:abstractNumId w:val="20"/>
  </w:num>
  <w:num w:numId="22">
    <w:abstractNumId w:val="16"/>
  </w:num>
  <w:num w:numId="23">
    <w:abstractNumId w:val="24"/>
  </w:num>
  <w:num w:numId="24">
    <w:abstractNumId w:val="28"/>
  </w:num>
  <w:num w:numId="25">
    <w:abstractNumId w:val="6"/>
  </w:num>
  <w:num w:numId="26">
    <w:abstractNumId w:val="29"/>
  </w:num>
  <w:num w:numId="27">
    <w:abstractNumId w:val="44"/>
  </w:num>
  <w:num w:numId="28">
    <w:abstractNumId w:val="47"/>
    <w:lvlOverride w:ilvl="0">
      <w:startOverride w:val="1"/>
    </w:lvlOverride>
  </w:num>
  <w:num w:numId="29">
    <w:abstractNumId w:val="11"/>
  </w:num>
  <w:num w:numId="30">
    <w:abstractNumId w:val="32"/>
  </w:num>
  <w:num w:numId="31">
    <w:abstractNumId w:val="40"/>
  </w:num>
  <w:num w:numId="32">
    <w:abstractNumId w:val="10"/>
  </w:num>
  <w:num w:numId="33">
    <w:abstractNumId w:val="4"/>
    <w:lvlOverride w:ilvl="0">
      <w:lvl w:ilvl="0">
        <w:start w:val="1"/>
        <w:numFmt w:val="bullet"/>
        <w:pStyle w:val="lastdot"/>
        <w:lvlText w:val=""/>
        <w:legacy w:legacy="1" w:legacySpace="0" w:legacyIndent="283"/>
        <w:lvlJc w:val="left"/>
        <w:pPr>
          <w:ind w:left="992" w:hanging="283"/>
        </w:pPr>
        <w:rPr>
          <w:rFonts w:ascii="Symbol" w:hAnsi="Symbol" w:hint="default"/>
        </w:rPr>
      </w:lvl>
    </w:lvlOverride>
  </w:num>
  <w:num w:numId="34">
    <w:abstractNumId w:val="31"/>
  </w:num>
  <w:num w:numId="35">
    <w:abstractNumId w:val="19"/>
  </w:num>
  <w:num w:numId="36">
    <w:abstractNumId w:val="41"/>
  </w:num>
  <w:num w:numId="37">
    <w:abstractNumId w:val="27"/>
  </w:num>
  <w:num w:numId="38">
    <w:abstractNumId w:val="34"/>
  </w:num>
  <w:num w:numId="39">
    <w:abstractNumId w:val="21"/>
  </w:num>
  <w:num w:numId="40">
    <w:abstractNumId w:val="33"/>
  </w:num>
  <w:num w:numId="41">
    <w:abstractNumId w:val="25"/>
  </w:num>
  <w:num w:numId="42">
    <w:abstractNumId w:val="14"/>
  </w:num>
  <w:num w:numId="43">
    <w:abstractNumId w:val="17"/>
  </w:num>
  <w:num w:numId="44">
    <w:abstractNumId w:val="35"/>
  </w:num>
  <w:num w:numId="45">
    <w:abstractNumId w:val="30"/>
  </w:num>
  <w:num w:numId="46">
    <w:abstractNumId w:val="46"/>
  </w:num>
  <w:num w:numId="47">
    <w:abstractNumId w:val="47"/>
  </w:num>
  <w:num w:numId="48">
    <w:abstractNumId w:val="48"/>
  </w:num>
  <w:num w:numId="49">
    <w:abstractNumId w:val="23"/>
  </w:num>
  <w:num w:numId="50">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8EB"/>
    <w:rsid w:val="005C4CB1"/>
    <w:rsid w:val="008268EB"/>
    <w:rsid w:val="00896E96"/>
    <w:rsid w:val="00F30F0A"/>
    <w:rsid w:val="00F83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724A64-ADCB-4299-84AA-740138C1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unhideWhenUsed/>
    <w:qFormat/>
    <w:rsid w:val="008268EB"/>
    <w:pPr>
      <w:spacing w:before="360" w:after="120" w:line="560" w:lineRule="exact"/>
      <w:outlineLvl w:val="0"/>
    </w:pPr>
    <w:rPr>
      <w:rFonts w:ascii="Segoe UI Semibold" w:hAnsi="Segoe UI Semibold" w:cs="Segoe UI"/>
      <w:color w:val="0074A1"/>
      <w:sz w:val="44"/>
      <w:szCs w:val="44"/>
    </w:rPr>
  </w:style>
  <w:style w:type="paragraph" w:styleId="Heading2">
    <w:name w:val="heading 2"/>
    <w:basedOn w:val="silentheading"/>
    <w:next w:val="Normal"/>
    <w:link w:val="Heading2Char"/>
    <w:unhideWhenUsed/>
    <w:qFormat/>
    <w:rsid w:val="008268EB"/>
    <w:pPr>
      <w:spacing w:after="240" w:line="440" w:lineRule="atLeast"/>
      <w:outlineLvl w:val="1"/>
    </w:pPr>
    <w:rPr>
      <w:sz w:val="32"/>
      <w:szCs w:val="32"/>
    </w:rPr>
  </w:style>
  <w:style w:type="paragraph" w:styleId="Heading3">
    <w:name w:val="heading 3"/>
    <w:aliases w:val="h3"/>
    <w:basedOn w:val="h31"/>
    <w:next w:val="Normal"/>
    <w:link w:val="Heading3Char"/>
    <w:unhideWhenUsed/>
    <w:qFormat/>
    <w:rsid w:val="008268EB"/>
    <w:pPr>
      <w:keepNext/>
    </w:pPr>
  </w:style>
  <w:style w:type="paragraph" w:styleId="Heading4">
    <w:name w:val="heading 4"/>
    <w:basedOn w:val="Normal"/>
    <w:next w:val="Normal"/>
    <w:link w:val="Heading4Char"/>
    <w:unhideWhenUsed/>
    <w:qFormat/>
    <w:rsid w:val="008268EB"/>
    <w:pPr>
      <w:keepNext/>
      <w:spacing w:before="120" w:after="120" w:line="240" w:lineRule="auto"/>
      <w:jc w:val="both"/>
      <w:outlineLvl w:val="3"/>
    </w:pPr>
    <w:rPr>
      <w:rFonts w:ascii="Segoe UI" w:hAnsi="Segoe UI" w:cs="Segoe UI"/>
      <w:i/>
      <w:sz w:val="24"/>
      <w:szCs w:val="24"/>
    </w:rPr>
  </w:style>
  <w:style w:type="paragraph" w:styleId="Heading5">
    <w:name w:val="heading 5"/>
    <w:basedOn w:val="Normal"/>
    <w:next w:val="Normal"/>
    <w:link w:val="Heading5Char"/>
    <w:unhideWhenUsed/>
    <w:qFormat/>
    <w:rsid w:val="008268EB"/>
    <w:pPr>
      <w:keepNext/>
      <w:keepLines/>
      <w:spacing w:before="40" w:after="40"/>
      <w:outlineLvl w:val="4"/>
    </w:pPr>
    <w:rPr>
      <w:rFonts w:ascii="Segoe UI" w:eastAsia="STZhongsong" w:hAnsi="Segoe UI" w:cs="Majalla UI"/>
      <w:i/>
      <w:color w:val="13345C"/>
    </w:rPr>
  </w:style>
  <w:style w:type="paragraph" w:styleId="Heading6">
    <w:name w:val="heading 6"/>
    <w:basedOn w:val="Normal"/>
    <w:next w:val="Normal"/>
    <w:link w:val="Heading6Char"/>
    <w:unhideWhenUsed/>
    <w:qFormat/>
    <w:rsid w:val="008268EB"/>
    <w:pPr>
      <w:keepNext/>
      <w:keepLines/>
      <w:spacing w:before="40" w:after="0"/>
      <w:outlineLvl w:val="5"/>
    </w:pPr>
    <w:rPr>
      <w:rFonts w:ascii="Gill Sans MT" w:eastAsia="STZhongsong" w:hAnsi="Gill Sans MT" w:cs="Majalla UI"/>
      <w:i/>
      <w:iCs/>
      <w:color w:val="13345C"/>
    </w:rPr>
  </w:style>
  <w:style w:type="paragraph" w:styleId="Heading7">
    <w:name w:val="heading 7"/>
    <w:basedOn w:val="Heading6"/>
    <w:next w:val="Normal"/>
    <w:link w:val="Heading7Char"/>
    <w:qFormat/>
    <w:rsid w:val="008268EB"/>
    <w:pPr>
      <w:outlineLvl w:val="6"/>
    </w:pPr>
    <w:rPr>
      <w:i w:val="0"/>
    </w:rPr>
  </w:style>
  <w:style w:type="paragraph" w:styleId="Heading8">
    <w:name w:val="heading 8"/>
    <w:basedOn w:val="Normal"/>
    <w:next w:val="Normal"/>
    <w:link w:val="Heading8Char"/>
    <w:qFormat/>
    <w:rsid w:val="008268EB"/>
    <w:pPr>
      <w:overflowPunct w:val="0"/>
      <w:autoSpaceDE w:val="0"/>
      <w:autoSpaceDN w:val="0"/>
      <w:adjustRightInd w:val="0"/>
      <w:spacing w:before="240" w:after="60" w:line="240" w:lineRule="auto"/>
      <w:ind w:left="6655" w:hanging="708"/>
      <w:textAlignment w:val="baseline"/>
      <w:outlineLvl w:val="7"/>
    </w:pPr>
    <w:rPr>
      <w:rFonts w:ascii="Arial" w:eastAsia="Times New Roman" w:hAnsi="Arial" w:cs="Times New Roman"/>
      <w:i/>
      <w:szCs w:val="20"/>
      <w:lang w:eastAsia="en-AU"/>
    </w:rPr>
  </w:style>
  <w:style w:type="paragraph" w:styleId="Heading9">
    <w:name w:val="heading 9"/>
    <w:basedOn w:val="Normal"/>
    <w:next w:val="Normal"/>
    <w:link w:val="Heading9Char"/>
    <w:qFormat/>
    <w:rsid w:val="008268EB"/>
    <w:pPr>
      <w:overflowPunct w:val="0"/>
      <w:autoSpaceDE w:val="0"/>
      <w:autoSpaceDN w:val="0"/>
      <w:adjustRightInd w:val="0"/>
      <w:spacing w:before="240" w:after="60" w:line="240" w:lineRule="auto"/>
      <w:ind w:left="7363" w:hanging="708"/>
      <w:textAlignment w:val="baseline"/>
      <w:outlineLvl w:val="8"/>
    </w:pPr>
    <w:rPr>
      <w:rFonts w:ascii="Arial" w:eastAsia="Times New Roman" w:hAnsi="Arial" w:cs="Times New Roman"/>
      <w:i/>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8EB"/>
    <w:rPr>
      <w:rFonts w:ascii="Segoe UI Semibold" w:hAnsi="Segoe UI Semibold" w:cs="Segoe UI"/>
      <w:color w:val="0074A1"/>
      <w:sz w:val="44"/>
      <w:szCs w:val="44"/>
    </w:rPr>
  </w:style>
  <w:style w:type="character" w:customStyle="1" w:styleId="Heading2Char">
    <w:name w:val="Heading 2 Char"/>
    <w:basedOn w:val="DefaultParagraphFont"/>
    <w:link w:val="Heading2"/>
    <w:rsid w:val="008268EB"/>
    <w:rPr>
      <w:rFonts w:ascii="Segoe UI" w:hAnsi="Segoe UI" w:cs="Segoe UI"/>
      <w:b/>
      <w:color w:val="0074A1"/>
      <w:sz w:val="32"/>
      <w:szCs w:val="32"/>
    </w:rPr>
  </w:style>
  <w:style w:type="character" w:customStyle="1" w:styleId="Heading3Char">
    <w:name w:val="Heading 3 Char"/>
    <w:aliases w:val="h3 Char"/>
    <w:basedOn w:val="DefaultParagraphFont"/>
    <w:link w:val="Heading3"/>
    <w:rsid w:val="008268EB"/>
    <w:rPr>
      <w:rFonts w:ascii="Segoe UI" w:hAnsi="Segoe UI" w:cs="Segoe UI"/>
      <w:b/>
      <w:color w:val="000000"/>
      <w:sz w:val="24"/>
      <w:szCs w:val="24"/>
    </w:rPr>
  </w:style>
  <w:style w:type="character" w:customStyle="1" w:styleId="Heading4Char">
    <w:name w:val="Heading 4 Char"/>
    <w:basedOn w:val="DefaultParagraphFont"/>
    <w:link w:val="Heading4"/>
    <w:rsid w:val="008268EB"/>
    <w:rPr>
      <w:rFonts w:ascii="Segoe UI" w:hAnsi="Segoe UI" w:cs="Segoe UI"/>
      <w:i/>
      <w:sz w:val="24"/>
      <w:szCs w:val="24"/>
    </w:rPr>
  </w:style>
  <w:style w:type="character" w:customStyle="1" w:styleId="Heading5Char">
    <w:name w:val="Heading 5 Char"/>
    <w:basedOn w:val="DefaultParagraphFont"/>
    <w:link w:val="Heading5"/>
    <w:rsid w:val="008268EB"/>
    <w:rPr>
      <w:rFonts w:ascii="Segoe UI" w:eastAsia="STZhongsong" w:hAnsi="Segoe UI" w:cs="Majalla UI"/>
      <w:i/>
      <w:color w:val="13345C"/>
    </w:rPr>
  </w:style>
  <w:style w:type="character" w:customStyle="1" w:styleId="Heading6Char">
    <w:name w:val="Heading 6 Char"/>
    <w:basedOn w:val="DefaultParagraphFont"/>
    <w:link w:val="Heading6"/>
    <w:rsid w:val="008268EB"/>
    <w:rPr>
      <w:rFonts w:ascii="Gill Sans MT" w:eastAsia="STZhongsong" w:hAnsi="Gill Sans MT" w:cs="Majalla UI"/>
      <w:i/>
      <w:iCs/>
      <w:color w:val="13345C"/>
    </w:rPr>
  </w:style>
  <w:style w:type="character" w:customStyle="1" w:styleId="Heading7Char">
    <w:name w:val="Heading 7 Char"/>
    <w:basedOn w:val="DefaultParagraphFont"/>
    <w:link w:val="Heading7"/>
    <w:rsid w:val="008268EB"/>
    <w:rPr>
      <w:rFonts w:ascii="Gill Sans MT" w:eastAsia="STZhongsong" w:hAnsi="Gill Sans MT" w:cs="Majalla UI"/>
      <w:iCs/>
      <w:color w:val="13345C"/>
    </w:rPr>
  </w:style>
  <w:style w:type="character" w:customStyle="1" w:styleId="Heading8Char">
    <w:name w:val="Heading 8 Char"/>
    <w:basedOn w:val="DefaultParagraphFont"/>
    <w:link w:val="Heading8"/>
    <w:rsid w:val="008268EB"/>
    <w:rPr>
      <w:rFonts w:ascii="Arial" w:eastAsia="Times New Roman" w:hAnsi="Arial" w:cs="Times New Roman"/>
      <w:i/>
      <w:szCs w:val="20"/>
      <w:lang w:eastAsia="en-AU"/>
    </w:rPr>
  </w:style>
  <w:style w:type="character" w:customStyle="1" w:styleId="Heading9Char">
    <w:name w:val="Heading 9 Char"/>
    <w:basedOn w:val="DefaultParagraphFont"/>
    <w:link w:val="Heading9"/>
    <w:rsid w:val="008268EB"/>
    <w:rPr>
      <w:rFonts w:ascii="Arial" w:eastAsia="Times New Roman" w:hAnsi="Arial" w:cs="Times New Roman"/>
      <w:i/>
      <w:sz w:val="18"/>
      <w:szCs w:val="20"/>
      <w:lang w:eastAsia="en-AU"/>
    </w:rPr>
  </w:style>
  <w:style w:type="numbering" w:customStyle="1" w:styleId="NoList1">
    <w:name w:val="No List1"/>
    <w:next w:val="NoList"/>
    <w:uiPriority w:val="99"/>
    <w:semiHidden/>
    <w:unhideWhenUsed/>
    <w:rsid w:val="008268EB"/>
  </w:style>
  <w:style w:type="numbering" w:customStyle="1" w:styleId="NoList11">
    <w:name w:val="No List11"/>
    <w:next w:val="NoList"/>
    <w:uiPriority w:val="99"/>
    <w:semiHidden/>
    <w:unhideWhenUsed/>
    <w:rsid w:val="008268EB"/>
  </w:style>
  <w:style w:type="paragraph" w:styleId="BalloonText">
    <w:name w:val="Balloon Text"/>
    <w:basedOn w:val="Normal"/>
    <w:link w:val="BalloonTextChar"/>
    <w:uiPriority w:val="99"/>
    <w:semiHidden/>
    <w:unhideWhenUsed/>
    <w:rsid w:val="00826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8EB"/>
    <w:rPr>
      <w:rFonts w:ascii="Segoe UI" w:hAnsi="Segoe UI" w:cs="Segoe UI"/>
      <w:sz w:val="18"/>
      <w:szCs w:val="18"/>
    </w:rPr>
  </w:style>
  <w:style w:type="paragraph" w:customStyle="1" w:styleId="h31">
    <w:name w:val="h31"/>
    <w:basedOn w:val="Normal"/>
    <w:next w:val="Normal"/>
    <w:uiPriority w:val="4"/>
    <w:unhideWhenUsed/>
    <w:qFormat/>
    <w:rsid w:val="008268EB"/>
    <w:pPr>
      <w:spacing w:before="240" w:after="240" w:line="240" w:lineRule="auto"/>
      <w:outlineLvl w:val="2"/>
    </w:pPr>
    <w:rPr>
      <w:rFonts w:ascii="Segoe UI" w:hAnsi="Segoe UI" w:cs="Segoe UI"/>
      <w:b/>
      <w:color w:val="000000"/>
      <w:sz w:val="24"/>
      <w:szCs w:val="24"/>
    </w:rPr>
  </w:style>
  <w:style w:type="paragraph" w:customStyle="1" w:styleId="Heading51">
    <w:name w:val="Heading 51"/>
    <w:basedOn w:val="Heading4"/>
    <w:next w:val="Normal"/>
    <w:uiPriority w:val="9"/>
    <w:unhideWhenUsed/>
    <w:qFormat/>
    <w:rsid w:val="008268EB"/>
    <w:pPr>
      <w:keepLines/>
      <w:spacing w:before="200" w:after="0"/>
      <w:outlineLvl w:val="4"/>
    </w:pPr>
    <w:rPr>
      <w:rFonts w:eastAsia="STZhongsong" w:cs="Majalla UI"/>
      <w:b/>
      <w:i w:val="0"/>
      <w:color w:val="13345C"/>
    </w:rPr>
  </w:style>
  <w:style w:type="paragraph" w:customStyle="1" w:styleId="Heading61">
    <w:name w:val="Heading 61"/>
    <w:basedOn w:val="Normal"/>
    <w:next w:val="Normal"/>
    <w:uiPriority w:val="9"/>
    <w:unhideWhenUsed/>
    <w:qFormat/>
    <w:rsid w:val="008268EB"/>
    <w:pPr>
      <w:keepNext/>
      <w:keepLines/>
      <w:spacing w:before="200" w:after="0" w:line="240" w:lineRule="auto"/>
      <w:outlineLvl w:val="5"/>
    </w:pPr>
    <w:rPr>
      <w:rFonts w:ascii="Gill Sans MT" w:eastAsia="STZhongsong" w:hAnsi="Gill Sans MT" w:cs="Majalla UI"/>
      <w:i/>
      <w:iCs/>
      <w:color w:val="13345C"/>
    </w:rPr>
  </w:style>
  <w:style w:type="numbering" w:customStyle="1" w:styleId="NoList111">
    <w:name w:val="No List111"/>
    <w:next w:val="NoList"/>
    <w:uiPriority w:val="99"/>
    <w:semiHidden/>
    <w:unhideWhenUsed/>
    <w:rsid w:val="008268EB"/>
  </w:style>
  <w:style w:type="character" w:customStyle="1" w:styleId="SubtleEmphasis1">
    <w:name w:val="Subtle Emphasis1"/>
    <w:basedOn w:val="DefaultParagraphFont"/>
    <w:uiPriority w:val="19"/>
    <w:semiHidden/>
    <w:unhideWhenUsed/>
    <w:rsid w:val="008268EB"/>
    <w:rPr>
      <w:i/>
      <w:iCs/>
      <w:color w:val="808080"/>
    </w:rPr>
  </w:style>
  <w:style w:type="character" w:styleId="Hyperlink">
    <w:name w:val="Hyperlink"/>
    <w:basedOn w:val="DefaultParagraphFont"/>
    <w:uiPriority w:val="99"/>
    <w:unhideWhenUsed/>
    <w:qFormat/>
    <w:rsid w:val="008268EB"/>
    <w:rPr>
      <w:color w:val="0257BE"/>
    </w:rPr>
  </w:style>
  <w:style w:type="paragraph" w:styleId="Header">
    <w:name w:val="header"/>
    <w:aliases w:val="Odd page,EAHeader"/>
    <w:basedOn w:val="Normal"/>
    <w:link w:val="HeaderChar"/>
    <w:uiPriority w:val="99"/>
    <w:unhideWhenUsed/>
    <w:rsid w:val="008268EB"/>
    <w:pPr>
      <w:tabs>
        <w:tab w:val="center" w:pos="4513"/>
        <w:tab w:val="right" w:pos="9026"/>
      </w:tabs>
      <w:spacing w:before="120" w:after="0" w:line="240" w:lineRule="auto"/>
      <w:jc w:val="right"/>
    </w:pPr>
    <w:rPr>
      <w:rFonts w:ascii="Segoe UI" w:hAnsi="Segoe UI" w:cs="Segoe UI"/>
      <w:color w:val="0070C0"/>
      <w:sz w:val="18"/>
    </w:rPr>
  </w:style>
  <w:style w:type="character" w:customStyle="1" w:styleId="HeaderChar">
    <w:name w:val="Header Char"/>
    <w:aliases w:val="Odd page Char,EAHeader Char"/>
    <w:basedOn w:val="DefaultParagraphFont"/>
    <w:link w:val="Header"/>
    <w:uiPriority w:val="99"/>
    <w:rsid w:val="008268EB"/>
    <w:rPr>
      <w:rFonts w:ascii="Segoe UI" w:hAnsi="Segoe UI" w:cs="Segoe UI"/>
      <w:color w:val="0070C0"/>
      <w:sz w:val="18"/>
    </w:rPr>
  </w:style>
  <w:style w:type="paragraph" w:customStyle="1" w:styleId="Footer1">
    <w:name w:val="Footer1"/>
    <w:basedOn w:val="Normal"/>
    <w:next w:val="Footer"/>
    <w:link w:val="FooterChar"/>
    <w:uiPriority w:val="99"/>
    <w:unhideWhenUsed/>
    <w:rsid w:val="008268EB"/>
    <w:pPr>
      <w:tabs>
        <w:tab w:val="center" w:pos="4513"/>
        <w:tab w:val="right" w:pos="9026"/>
      </w:tabs>
      <w:spacing w:before="120" w:after="0" w:line="240" w:lineRule="auto"/>
    </w:pPr>
    <w:rPr>
      <w:rFonts w:ascii="Segoe UI" w:hAnsi="Segoe UI" w:cs="Segoe UI"/>
      <w:color w:val="02747E"/>
      <w:sz w:val="18"/>
    </w:rPr>
  </w:style>
  <w:style w:type="character" w:customStyle="1" w:styleId="FooterChar">
    <w:name w:val="Footer Char"/>
    <w:basedOn w:val="DefaultParagraphFont"/>
    <w:link w:val="Footer1"/>
    <w:uiPriority w:val="99"/>
    <w:rsid w:val="008268EB"/>
    <w:rPr>
      <w:rFonts w:ascii="Segoe UI" w:hAnsi="Segoe UI" w:cs="Segoe UI"/>
      <w:color w:val="02747E"/>
      <w:sz w:val="18"/>
    </w:rPr>
  </w:style>
  <w:style w:type="paragraph" w:styleId="ListParagraph">
    <w:name w:val="List Paragraph"/>
    <w:aliases w:val="List Paragraph1,List Paragraph11,Recommendation,NFP GP Bulleted List,List Paragraph2,FooterText,numbered,Paragraphe de liste1,Bulletr List Paragraph,列出段落,列出段落1,List Paragraph21,Listeafsnit1,Parágrafo da Lista1,Párrafo de lista1,リスト段落1,L"/>
    <w:basedOn w:val="Normal"/>
    <w:link w:val="ListParagraphChar"/>
    <w:uiPriority w:val="34"/>
    <w:qFormat/>
    <w:rsid w:val="008268EB"/>
    <w:pPr>
      <w:spacing w:before="120" w:after="120" w:line="240" w:lineRule="auto"/>
      <w:ind w:left="720"/>
      <w:contextualSpacing/>
    </w:pPr>
    <w:rPr>
      <w:rFonts w:ascii="Segoe UI" w:hAnsi="Segoe UI" w:cs="Segoe UI"/>
    </w:rPr>
  </w:style>
  <w:style w:type="paragraph" w:customStyle="1" w:styleId="bullet">
    <w:name w:val="bullet"/>
    <w:basedOn w:val="Normal"/>
    <w:qFormat/>
    <w:rsid w:val="008268EB"/>
    <w:pPr>
      <w:numPr>
        <w:numId w:val="1"/>
      </w:numPr>
      <w:spacing w:before="80" w:after="80" w:line="240" w:lineRule="auto"/>
      <w:ind w:left="284" w:hanging="284"/>
    </w:pPr>
    <w:rPr>
      <w:rFonts w:ascii="Segoe UI" w:hAnsi="Segoe UI" w:cs="Segoe UI"/>
    </w:rPr>
  </w:style>
  <w:style w:type="paragraph" w:customStyle="1" w:styleId="bullet2">
    <w:name w:val="bullet 2"/>
    <w:basedOn w:val="bullet"/>
    <w:qFormat/>
    <w:rsid w:val="008268EB"/>
    <w:pPr>
      <w:numPr>
        <w:numId w:val="2"/>
      </w:numPr>
    </w:pPr>
  </w:style>
  <w:style w:type="paragraph" w:customStyle="1" w:styleId="introductiontext">
    <w:name w:val="introduction text"/>
    <w:basedOn w:val="Normal"/>
    <w:rsid w:val="008268EB"/>
    <w:pPr>
      <w:spacing w:before="160" w:line="320" w:lineRule="exact"/>
    </w:pPr>
    <w:rPr>
      <w:rFonts w:ascii="Segoe UI Semibold" w:hAnsi="Segoe UI Semibold" w:cs="Segoe UI"/>
      <w:color w:val="0074A1"/>
      <w:sz w:val="24"/>
      <w:szCs w:val="24"/>
    </w:rPr>
  </w:style>
  <w:style w:type="paragraph" w:styleId="TOC3">
    <w:name w:val="toc 3"/>
    <w:basedOn w:val="Normal"/>
    <w:next w:val="Normal"/>
    <w:autoRedefine/>
    <w:uiPriority w:val="39"/>
    <w:unhideWhenUsed/>
    <w:qFormat/>
    <w:rsid w:val="008268EB"/>
    <w:pPr>
      <w:tabs>
        <w:tab w:val="right" w:leader="dot" w:pos="9016"/>
      </w:tabs>
      <w:spacing w:before="120" w:after="100" w:line="240" w:lineRule="auto"/>
      <w:ind w:left="440"/>
    </w:pPr>
    <w:rPr>
      <w:rFonts w:ascii="Segoe UI" w:hAnsi="Segoe UI" w:cs="Segoe UI"/>
    </w:rPr>
  </w:style>
  <w:style w:type="paragraph" w:styleId="TableofFigures">
    <w:name w:val="table of figures"/>
    <w:basedOn w:val="Normal"/>
    <w:next w:val="Normal"/>
    <w:uiPriority w:val="99"/>
    <w:unhideWhenUsed/>
    <w:rsid w:val="008268EB"/>
    <w:pPr>
      <w:spacing w:before="120" w:after="0" w:line="240" w:lineRule="auto"/>
    </w:pPr>
    <w:rPr>
      <w:rFonts w:ascii="Segoe UI" w:hAnsi="Segoe UI" w:cs="Segoe UI"/>
    </w:rPr>
  </w:style>
  <w:style w:type="table" w:styleId="TableGrid">
    <w:name w:val="Table Grid"/>
    <w:basedOn w:val="TableNormal"/>
    <w:uiPriority w:val="39"/>
    <w:rsid w:val="0082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1">
    <w:name w:val="xTable 1"/>
    <w:basedOn w:val="TableGrid"/>
    <w:uiPriority w:val="99"/>
    <w:rsid w:val="008268EB"/>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shd w:val="clear" w:color="auto" w:fill="auto"/>
      <w:noWrap/>
      <w:tcMar>
        <w:top w:w="57" w:type="dxa"/>
        <w:bottom w:w="57" w:type="dxa"/>
      </w:tcMar>
    </w:tcPr>
    <w:tblStylePr w:type="firstRow">
      <w:pPr>
        <w:wordWrap/>
        <w:spacing w:beforeLines="0" w:before="20" w:beforeAutospacing="0" w:afterLines="0" w:after="20" w:afterAutospacing="0" w:line="240" w:lineRule="atLeast"/>
        <w:jc w:val="center"/>
      </w:pPr>
      <w:rPr>
        <w:rFonts w:ascii="Microsoft JhengHei UI Light" w:hAnsi="Microsoft JhengHei UI Light"/>
        <w:b w:val="0"/>
        <w:i w:val="0"/>
        <w:color w:val="000000"/>
        <w:sz w:val="19"/>
      </w:rPr>
      <w:tblPr/>
      <w:tcPr>
        <w:shd w:val="clear" w:color="auto" w:fill="E2EFD9" w:themeFill="accent6" w:themeFillTint="33"/>
        <w:vAlign w:val="bottom"/>
      </w:tcPr>
    </w:tblStylePr>
    <w:tblStylePr w:type="lastRow">
      <w:rPr>
        <w:rFonts w:ascii="Microsoft JhengHei UI Light" w:hAnsi="Microsoft JhengHei UI Light"/>
        <w:b/>
        <w:sz w:val="19"/>
      </w:rPr>
      <w:tblPr/>
      <w:tcPr>
        <w:tcBorders>
          <w:bottom w:val="single" w:sz="4" w:space="0" w:color="auto"/>
        </w:tcBorders>
      </w:tcPr>
    </w:tblStylePr>
    <w:tblStylePr w:type="firstCol">
      <w:rPr>
        <w:rFonts w:ascii="Microsoft JhengHei UI Light" w:hAnsi="Microsoft JhengHei UI Light"/>
        <w:sz w:val="19"/>
      </w:rPr>
    </w:tblStylePr>
    <w:tblStylePr w:type="band1Vert">
      <w:rPr>
        <w:rFonts w:ascii="Microsoft JhengHei UI Light" w:hAnsi="Microsoft JhengHei UI Light"/>
        <w:sz w:val="19"/>
      </w:rPr>
    </w:tblStylePr>
    <w:tblStylePr w:type="band2Vert">
      <w:rPr>
        <w:rFonts w:ascii="Microsoft JhengHei UI Light" w:hAnsi="Microsoft JhengHei UI Light"/>
        <w:sz w:val="19"/>
      </w:rPr>
      <w:tblPr/>
      <w:tcPr>
        <w:tcBorders>
          <w:left w:val="nil"/>
        </w:tcBorders>
      </w:tcPr>
    </w:tblStylePr>
    <w:tblStylePr w:type="band1Horz">
      <w:rPr>
        <w:rFonts w:ascii="Microsoft JhengHei UI Light" w:hAnsi="Microsoft JhengHei UI Light"/>
        <w:sz w:val="19"/>
      </w:rPr>
      <w:tblPr/>
      <w:tcPr>
        <w:tcBorders>
          <w:bottom w:val="nil"/>
        </w:tcBorders>
      </w:tcPr>
    </w:tblStylePr>
    <w:tblStylePr w:type="band2Horz">
      <w:rPr>
        <w:rFonts w:ascii="Microsoft JhengHei UI Light" w:hAnsi="Microsoft JhengHei UI Light"/>
        <w:sz w:val="19"/>
      </w:rPr>
      <w:tblPr/>
      <w:tcPr>
        <w:tcBorders>
          <w:left w:val="nil"/>
          <w:bottom w:val="single" w:sz="4" w:space="0" w:color="000000"/>
        </w:tcBorders>
      </w:tcPr>
    </w:tblStylePr>
    <w:tblStylePr w:type="nwCell">
      <w:pPr>
        <w:jc w:val="left"/>
      </w:pPr>
      <w:tblPr/>
      <w:tcPr>
        <w:vAlign w:val="bottom"/>
      </w:tcPr>
    </w:tblStylePr>
  </w:style>
  <w:style w:type="table" w:customStyle="1" w:styleId="LightList-Accent31">
    <w:name w:val="Light List - Accent 31"/>
    <w:basedOn w:val="TableNormal"/>
    <w:next w:val="LightList-Accent3"/>
    <w:uiPriority w:val="61"/>
    <w:rsid w:val="008268EB"/>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paragraph" w:customStyle="1" w:styleId="Copyright">
    <w:name w:val="Copyright"/>
    <w:basedOn w:val="Normal"/>
    <w:semiHidden/>
    <w:rsid w:val="008268EB"/>
    <w:pPr>
      <w:pBdr>
        <w:top w:val="single" w:sz="4" w:space="4" w:color="008FCC"/>
      </w:pBdr>
      <w:tabs>
        <w:tab w:val="left" w:pos="340"/>
      </w:tabs>
      <w:spacing w:before="60" w:after="80" w:line="180" w:lineRule="exact"/>
    </w:pPr>
    <w:rPr>
      <w:rFonts w:ascii="Segoe UI" w:eastAsia="Times New Roman" w:hAnsi="Segoe UI" w:cs="Segoe UI"/>
      <w:sz w:val="16"/>
      <w:szCs w:val="14"/>
    </w:rPr>
  </w:style>
  <w:style w:type="paragraph" w:customStyle="1" w:styleId="references">
    <w:name w:val="references"/>
    <w:basedOn w:val="Normal"/>
    <w:rsid w:val="008268EB"/>
    <w:pPr>
      <w:spacing w:before="120" w:after="120" w:line="240" w:lineRule="auto"/>
      <w:ind w:left="567" w:hanging="567"/>
    </w:pPr>
    <w:rPr>
      <w:rFonts w:ascii="Segoe UI" w:hAnsi="Segoe UI" w:cs="Segoe UI"/>
    </w:rPr>
  </w:style>
  <w:style w:type="paragraph" w:customStyle="1" w:styleId="Figuretextorcaption1">
    <w:name w:val="Figure text or caption1"/>
    <w:basedOn w:val="Normal"/>
    <w:next w:val="Normal"/>
    <w:uiPriority w:val="35"/>
    <w:unhideWhenUsed/>
    <w:qFormat/>
    <w:rsid w:val="008268EB"/>
    <w:pPr>
      <w:spacing w:before="180" w:after="180" w:line="240" w:lineRule="exact"/>
    </w:pPr>
    <w:rPr>
      <w:rFonts w:ascii="Segoe UI Semibold" w:eastAsia="Times New Roman" w:hAnsi="Segoe UI Semibold" w:cs="Times New Roman"/>
      <w:color w:val="016295"/>
    </w:rPr>
  </w:style>
  <w:style w:type="paragraph" w:styleId="TOC2">
    <w:name w:val="toc 2"/>
    <w:basedOn w:val="Normal"/>
    <w:next w:val="Normal"/>
    <w:autoRedefine/>
    <w:uiPriority w:val="39"/>
    <w:unhideWhenUsed/>
    <w:qFormat/>
    <w:rsid w:val="008268EB"/>
    <w:pPr>
      <w:tabs>
        <w:tab w:val="left" w:pos="880"/>
        <w:tab w:val="right" w:leader="dot" w:pos="9060"/>
      </w:tabs>
      <w:spacing w:before="120" w:after="100" w:line="240" w:lineRule="auto"/>
      <w:ind w:left="220"/>
    </w:pPr>
    <w:rPr>
      <w:rFonts w:ascii="Segoe UI" w:hAnsi="Segoe UI" w:cs="Segoe UI"/>
    </w:rPr>
  </w:style>
  <w:style w:type="paragraph" w:styleId="TOC1">
    <w:name w:val="toc 1"/>
    <w:basedOn w:val="Normal"/>
    <w:next w:val="Normal"/>
    <w:autoRedefine/>
    <w:uiPriority w:val="39"/>
    <w:unhideWhenUsed/>
    <w:qFormat/>
    <w:rsid w:val="008268EB"/>
    <w:pPr>
      <w:tabs>
        <w:tab w:val="right" w:leader="dot" w:pos="9060"/>
      </w:tabs>
      <w:spacing w:before="120" w:after="100" w:line="240" w:lineRule="auto"/>
    </w:pPr>
    <w:rPr>
      <w:rFonts w:ascii="Segoe UI" w:hAnsi="Segoe UI" w:cs="Segoe UI"/>
      <w:noProof/>
    </w:rPr>
  </w:style>
  <w:style w:type="paragraph" w:customStyle="1" w:styleId="seriestitle">
    <w:name w:val="series title"/>
    <w:basedOn w:val="Normal"/>
    <w:rsid w:val="008268EB"/>
    <w:pPr>
      <w:spacing w:before="120" w:after="120" w:line="560" w:lineRule="exact"/>
    </w:pPr>
    <w:rPr>
      <w:rFonts w:ascii="Segoe UI Light" w:hAnsi="Segoe UI Light" w:cs="Segoe UI"/>
      <w:color w:val="FFFFFF"/>
      <w:sz w:val="44"/>
      <w:szCs w:val="44"/>
    </w:rPr>
  </w:style>
  <w:style w:type="paragraph" w:customStyle="1" w:styleId="silentheading">
    <w:name w:val="silent heading"/>
    <w:rsid w:val="008268EB"/>
    <w:pPr>
      <w:spacing w:before="360" w:after="480" w:line="276" w:lineRule="auto"/>
    </w:pPr>
    <w:rPr>
      <w:rFonts w:ascii="Segoe UI" w:hAnsi="Segoe UI" w:cs="Segoe UI"/>
      <w:b/>
      <w:color w:val="0074A1"/>
      <w:sz w:val="28"/>
      <w:szCs w:val="28"/>
    </w:rPr>
  </w:style>
  <w:style w:type="paragraph" w:customStyle="1" w:styleId="imprintheading">
    <w:name w:val="imprint heading"/>
    <w:basedOn w:val="Normal"/>
    <w:rsid w:val="008268EB"/>
    <w:pPr>
      <w:spacing w:before="120" w:after="120" w:line="240" w:lineRule="auto"/>
    </w:pPr>
    <w:rPr>
      <w:rFonts w:ascii="Segoe UI" w:hAnsi="Segoe UI" w:cs="Segoe UI"/>
      <w:b/>
      <w:sz w:val="20"/>
      <w:szCs w:val="20"/>
    </w:rPr>
  </w:style>
  <w:style w:type="paragraph" w:customStyle="1" w:styleId="imprinttext">
    <w:name w:val="imprint text"/>
    <w:basedOn w:val="Normal"/>
    <w:rsid w:val="008268EB"/>
    <w:pPr>
      <w:spacing w:before="120" w:after="120" w:line="240" w:lineRule="auto"/>
    </w:pPr>
    <w:rPr>
      <w:rFonts w:ascii="Segoe UI" w:hAnsi="Segoe UI" w:cs="Segoe UI"/>
      <w:sz w:val="20"/>
      <w:szCs w:val="20"/>
    </w:rPr>
  </w:style>
  <w:style w:type="paragraph" w:customStyle="1" w:styleId="copyrightdisclaimer">
    <w:name w:val="copyright / disclaimer"/>
    <w:basedOn w:val="Copyright"/>
    <w:rsid w:val="008268EB"/>
    <w:pPr>
      <w:pBdr>
        <w:top w:val="single" w:sz="4" w:space="6" w:color="008FCC"/>
      </w:pBdr>
    </w:pPr>
    <w:rPr>
      <w:szCs w:val="16"/>
    </w:rPr>
  </w:style>
  <w:style w:type="character" w:styleId="PlaceholderText">
    <w:name w:val="Placeholder Text"/>
    <w:basedOn w:val="DefaultParagraphFont"/>
    <w:uiPriority w:val="99"/>
    <w:rsid w:val="008268EB"/>
    <w:rPr>
      <w:color w:val="808080"/>
    </w:rPr>
  </w:style>
  <w:style w:type="paragraph" w:customStyle="1" w:styleId="featuretexthead">
    <w:name w:val="feature text head"/>
    <w:basedOn w:val="Normal"/>
    <w:rsid w:val="008268EB"/>
    <w:pPr>
      <w:spacing w:before="120" w:after="120" w:line="300" w:lineRule="atLeast"/>
    </w:pPr>
    <w:rPr>
      <w:rFonts w:ascii="Segoe UI" w:hAnsi="Segoe UI" w:cs="Segoe UI"/>
      <w:b/>
      <w:color w:val="02747E"/>
      <w:sz w:val="24"/>
    </w:rPr>
  </w:style>
  <w:style w:type="paragraph" w:customStyle="1" w:styleId="tabletext">
    <w:name w:val="table text"/>
    <w:basedOn w:val="bullet2"/>
    <w:rsid w:val="008268EB"/>
    <w:pPr>
      <w:numPr>
        <w:numId w:val="0"/>
      </w:numPr>
      <w:spacing w:before="5" w:after="5" w:line="240" w:lineRule="exact"/>
    </w:pPr>
    <w:rPr>
      <w:sz w:val="20"/>
      <w:szCs w:val="20"/>
    </w:rPr>
  </w:style>
  <w:style w:type="paragraph" w:customStyle="1" w:styleId="tableheadertext">
    <w:name w:val="table header text"/>
    <w:basedOn w:val="bullet2"/>
    <w:rsid w:val="008268EB"/>
    <w:pPr>
      <w:numPr>
        <w:numId w:val="0"/>
      </w:numPr>
      <w:spacing w:beforeLines="25" w:before="25" w:afterLines="25" w:after="25" w:line="240" w:lineRule="exact"/>
    </w:pPr>
    <w:rPr>
      <w:rFonts w:ascii="Segoe UI Semibold" w:hAnsi="Segoe UI Semibold"/>
      <w:b/>
      <w:color w:val="000000"/>
      <w:sz w:val="20"/>
      <w:szCs w:val="20"/>
    </w:rPr>
  </w:style>
  <w:style w:type="table" w:customStyle="1" w:styleId="LightShading1">
    <w:name w:val="Light Shading1"/>
    <w:basedOn w:val="TableNormal"/>
    <w:next w:val="LightShading"/>
    <w:uiPriority w:val="60"/>
    <w:rsid w:val="008268E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268EB"/>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
    <w:name w:val="Light Shading - Accent 61"/>
    <w:basedOn w:val="TableNormal"/>
    <w:next w:val="LightShading-Accent6"/>
    <w:uiPriority w:val="60"/>
    <w:rsid w:val="008268EB"/>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
    <w:name w:val="Light Shading - Accent 21"/>
    <w:basedOn w:val="TableGrid"/>
    <w:next w:val="LightShading-Accent2"/>
    <w:uiPriority w:val="60"/>
    <w:rsid w:val="008268EB"/>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paragraph" w:customStyle="1" w:styleId="FootnoteText1">
    <w:name w:val="Footnote Text1"/>
    <w:basedOn w:val="Normal"/>
    <w:next w:val="FootnoteText"/>
    <w:link w:val="FootnoteTextChar"/>
    <w:uiPriority w:val="99"/>
    <w:unhideWhenUsed/>
    <w:rsid w:val="008268EB"/>
    <w:pPr>
      <w:spacing w:after="0" w:line="240" w:lineRule="auto"/>
    </w:pPr>
    <w:rPr>
      <w:rFonts w:ascii="Segoe UI" w:eastAsia="STZhongsong" w:hAnsi="Segoe UI" w:cs="Segoe UI"/>
      <w:sz w:val="20"/>
      <w:szCs w:val="20"/>
      <w:lang w:val="en-US" w:eastAsia="ja-JP"/>
    </w:rPr>
  </w:style>
  <w:style w:type="character" w:customStyle="1" w:styleId="FootnoteTextChar">
    <w:name w:val="Footnote Text Char"/>
    <w:aliases w:val="ALTS FOOTNOTE Char,Footnote Text Char Char Char,Footnote Text Char1 Char,ALTS FOOTNOTE Char Char Char,ALTS FOOTNOTE Char1 Char,URS Footnote Text Char, Char Char,Char1 Char,Char Char,Geneva 9 Char,Font: Geneva 9 Char,Boston 10 Char"/>
    <w:basedOn w:val="DefaultParagraphFont"/>
    <w:link w:val="FootnoteText1"/>
    <w:uiPriority w:val="99"/>
    <w:rsid w:val="008268EB"/>
    <w:rPr>
      <w:rFonts w:ascii="Segoe UI" w:eastAsia="STZhongsong" w:hAnsi="Segoe UI" w:cs="Segoe UI"/>
      <w:sz w:val="20"/>
      <w:szCs w:val="20"/>
      <w:lang w:val="en-US" w:eastAsia="ja-JP"/>
    </w:rPr>
  </w:style>
  <w:style w:type="table" w:customStyle="1" w:styleId="MediumList2-Accent11">
    <w:name w:val="Medium List 2 - Accent 11"/>
    <w:basedOn w:val="TableNormal"/>
    <w:next w:val="MediumList2-Accent1"/>
    <w:uiPriority w:val="66"/>
    <w:rsid w:val="008268EB"/>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paragraph" w:customStyle="1" w:styleId="Title1">
    <w:name w:val="Title1"/>
    <w:next w:val="Normal"/>
    <w:uiPriority w:val="10"/>
    <w:rsid w:val="008268EB"/>
    <w:pPr>
      <w:spacing w:before="360" w:after="120" w:line="264" w:lineRule="auto"/>
    </w:pPr>
    <w:rPr>
      <w:rFonts w:ascii="Segoe UI Semibold" w:hAnsi="Segoe UI Semibold"/>
      <w:color w:val="9AF6FD"/>
      <w:sz w:val="44"/>
      <w:szCs w:val="44"/>
    </w:rPr>
  </w:style>
  <w:style w:type="character" w:customStyle="1" w:styleId="TitleChar">
    <w:name w:val="Title Char"/>
    <w:basedOn w:val="DefaultParagraphFont"/>
    <w:link w:val="Title"/>
    <w:rsid w:val="008268EB"/>
    <w:rPr>
      <w:rFonts w:ascii="Segoe UI Semibold" w:hAnsi="Segoe UI Semibold"/>
      <w:color w:val="9AF6FD"/>
      <w:sz w:val="44"/>
      <w:szCs w:val="44"/>
    </w:rPr>
  </w:style>
  <w:style w:type="paragraph" w:customStyle="1" w:styleId="Logo">
    <w:name w:val="Logo"/>
    <w:basedOn w:val="Header"/>
    <w:link w:val="LogoChar"/>
    <w:rsid w:val="008268EB"/>
    <w:pPr>
      <w:framePr w:wrap="around" w:vAnchor="page" w:hAnchor="page" w:x="1458" w:y="1521" w:anchorLock="1"/>
    </w:pPr>
    <w:rPr>
      <w:noProof/>
      <w:lang w:eastAsia="en-AU"/>
    </w:rPr>
  </w:style>
  <w:style w:type="paragraph" w:customStyle="1" w:styleId="FooterBanner">
    <w:name w:val="Footer Banner"/>
    <w:basedOn w:val="Footer"/>
    <w:link w:val="FooterBannerChar"/>
    <w:rsid w:val="008268EB"/>
    <w:pPr>
      <w:framePr w:wrap="around" w:vAnchor="page" w:hAnchor="page" w:y="10978" w:anchorLock="1"/>
      <w:numPr>
        <w:ilvl w:val="2"/>
        <w:numId w:val="11"/>
      </w:numPr>
      <w:spacing w:before="120"/>
    </w:pPr>
    <w:rPr>
      <w:noProof/>
      <w:color w:val="02747E"/>
      <w:sz w:val="18"/>
      <w:lang w:eastAsia="en-AU"/>
    </w:rPr>
  </w:style>
  <w:style w:type="character" w:customStyle="1" w:styleId="LogoChar">
    <w:name w:val="Logo Char"/>
    <w:basedOn w:val="HeaderChar"/>
    <w:link w:val="Logo"/>
    <w:rsid w:val="008268EB"/>
    <w:rPr>
      <w:rFonts w:ascii="Segoe UI" w:hAnsi="Segoe UI" w:cs="Segoe UI"/>
      <w:noProof/>
      <w:color w:val="0070C0"/>
      <w:sz w:val="18"/>
      <w:lang w:eastAsia="en-AU"/>
    </w:rPr>
  </w:style>
  <w:style w:type="table" w:customStyle="1" w:styleId="Frame">
    <w:name w:val="Frame"/>
    <w:basedOn w:val="TableNormal"/>
    <w:uiPriority w:val="99"/>
    <w:rsid w:val="008268EB"/>
    <w:pPr>
      <w:spacing w:after="0" w:line="240" w:lineRule="auto"/>
    </w:pPr>
    <w:tblPr>
      <w:tblCellMar>
        <w:left w:w="0" w:type="dxa"/>
        <w:right w:w="0" w:type="dxa"/>
      </w:tblCellMar>
    </w:tblPr>
  </w:style>
  <w:style w:type="character" w:customStyle="1" w:styleId="FooterBannerChar">
    <w:name w:val="Footer Banner Char"/>
    <w:basedOn w:val="FooterChar"/>
    <w:link w:val="FooterBanner"/>
    <w:rsid w:val="008268EB"/>
    <w:rPr>
      <w:rFonts w:ascii="Segoe UI" w:hAnsi="Segoe UI" w:cs="Segoe UI"/>
      <w:noProof/>
      <w:color w:val="02747E"/>
      <w:sz w:val="18"/>
      <w:lang w:eastAsia="en-AU"/>
    </w:rPr>
  </w:style>
  <w:style w:type="paragraph" w:styleId="NoSpacing">
    <w:name w:val="No Spacing"/>
    <w:link w:val="NoSpacingChar"/>
    <w:uiPriority w:val="1"/>
    <w:unhideWhenUsed/>
    <w:qFormat/>
    <w:rsid w:val="008268EB"/>
    <w:pPr>
      <w:spacing w:after="0" w:line="240" w:lineRule="auto"/>
    </w:pPr>
    <w:rPr>
      <w:rFonts w:ascii="Segoe UI" w:hAnsi="Segoe UI"/>
    </w:rPr>
  </w:style>
  <w:style w:type="paragraph" w:customStyle="1" w:styleId="TitleBox">
    <w:name w:val="Title Box"/>
    <w:basedOn w:val="Normal"/>
    <w:link w:val="TitleBoxChar"/>
    <w:rsid w:val="008268EB"/>
    <w:pPr>
      <w:framePr w:w="11907" w:wrap="notBeside" w:vAnchor="text" w:hAnchor="page" w:y="1" w:anchorLock="1"/>
      <w:spacing w:before="120" w:after="120" w:line="240" w:lineRule="auto"/>
    </w:pPr>
    <w:rPr>
      <w:rFonts w:ascii="Segoe UI" w:hAnsi="Segoe UI" w:cs="Segoe UI"/>
    </w:rPr>
  </w:style>
  <w:style w:type="character" w:customStyle="1" w:styleId="TitleBoxChar">
    <w:name w:val="Title Box Char"/>
    <w:basedOn w:val="DefaultParagraphFont"/>
    <w:link w:val="TitleBox"/>
    <w:rsid w:val="008268EB"/>
    <w:rPr>
      <w:rFonts w:ascii="Segoe UI" w:hAnsi="Segoe UI" w:cs="Segoe UI"/>
    </w:rPr>
  </w:style>
  <w:style w:type="character" w:styleId="FootnoteReference">
    <w:name w:val="footnote reference"/>
    <w:aliases w:val="Footnotes refss,FNRefe Char,BVI fnr Char,BVI fnr Char Char,BVI fnr Car Car Char Char,BVI fnr Car Char Char,BVI fnr Car Car Car Car Char Char Char Char,FNRefe Char Char,BVI fnr Char Char Char,BVI fnr Car Car Char Char Char"/>
    <w:basedOn w:val="DefaultParagraphFont"/>
    <w:unhideWhenUsed/>
    <w:rsid w:val="008268EB"/>
    <w:rPr>
      <w:vertAlign w:val="superscript"/>
    </w:rPr>
  </w:style>
  <w:style w:type="character" w:customStyle="1" w:styleId="FollowedHyperlink1">
    <w:name w:val="FollowedHyperlink1"/>
    <w:basedOn w:val="DefaultParagraphFont"/>
    <w:uiPriority w:val="99"/>
    <w:unhideWhenUsed/>
    <w:rsid w:val="008268EB"/>
    <w:rPr>
      <w:color w:val="5EAEFF"/>
      <w:u w:val="single"/>
    </w:rPr>
  </w:style>
  <w:style w:type="paragraph" w:customStyle="1" w:styleId="TableText0">
    <w:name w:val="Table Text"/>
    <w:basedOn w:val="Normal"/>
    <w:qFormat/>
    <w:rsid w:val="008268EB"/>
    <w:pPr>
      <w:spacing w:before="80" w:after="80" w:line="240" w:lineRule="auto"/>
    </w:pPr>
    <w:rPr>
      <w:rFonts w:ascii="Verdana" w:eastAsia="Times New Roman" w:hAnsi="Verdana" w:cs="Times New Roman"/>
      <w:sz w:val="20"/>
      <w:szCs w:val="24"/>
      <w:lang w:eastAsia="en-AU"/>
    </w:rPr>
  </w:style>
  <w:style w:type="paragraph" w:customStyle="1" w:styleId="TableHeading">
    <w:name w:val="Table Heading"/>
    <w:basedOn w:val="TableText0"/>
    <w:qFormat/>
    <w:rsid w:val="008268EB"/>
    <w:pPr>
      <w:keepNext/>
    </w:pPr>
    <w:rPr>
      <w:b/>
    </w:rPr>
  </w:style>
  <w:style w:type="paragraph" w:customStyle="1" w:styleId="TableCaption">
    <w:name w:val="Table Caption"/>
    <w:basedOn w:val="Normal"/>
    <w:next w:val="Normal"/>
    <w:rsid w:val="008268EB"/>
    <w:pPr>
      <w:keepNext/>
      <w:spacing w:before="240" w:after="240" w:line="240" w:lineRule="auto"/>
    </w:pPr>
    <w:rPr>
      <w:rFonts w:ascii="Verdana" w:eastAsia="Times New Roman" w:hAnsi="Verdana" w:cs="Times New Roman"/>
      <w:b/>
      <w:sz w:val="20"/>
      <w:szCs w:val="24"/>
      <w:lang w:eastAsia="en-AU"/>
    </w:rPr>
  </w:style>
  <w:style w:type="paragraph" w:styleId="ListBullet">
    <w:name w:val="List Bullet"/>
    <w:basedOn w:val="Normal"/>
    <w:qFormat/>
    <w:rsid w:val="008268EB"/>
    <w:pPr>
      <w:tabs>
        <w:tab w:val="num" w:pos="567"/>
      </w:tabs>
      <w:spacing w:before="240" w:after="0" w:line="240" w:lineRule="auto"/>
      <w:ind w:left="567" w:hanging="567"/>
    </w:pPr>
    <w:rPr>
      <w:rFonts w:ascii="Verdana" w:eastAsia="Times New Roman" w:hAnsi="Verdana" w:cs="Times New Roman"/>
      <w:sz w:val="20"/>
      <w:szCs w:val="24"/>
      <w:lang w:eastAsia="en-AU"/>
    </w:rPr>
  </w:style>
  <w:style w:type="paragraph" w:customStyle="1" w:styleId="Footnote">
    <w:name w:val="Footnote"/>
    <w:next w:val="Normal"/>
    <w:rsid w:val="008268EB"/>
    <w:pPr>
      <w:spacing w:before="60" w:after="60" w:line="240" w:lineRule="auto"/>
    </w:pPr>
    <w:rPr>
      <w:rFonts w:ascii="Verdana" w:eastAsia="Times New Roman" w:hAnsi="Verdana" w:cs="Arial"/>
      <w:bCs/>
      <w:kern w:val="28"/>
      <w:sz w:val="16"/>
      <w:szCs w:val="16"/>
      <w:lang w:eastAsia="en-AU"/>
    </w:rPr>
  </w:style>
  <w:style w:type="paragraph" w:customStyle="1" w:styleId="Text">
    <w:name w:val="Text"/>
    <w:basedOn w:val="Normal"/>
    <w:link w:val="TextChar"/>
    <w:locked/>
    <w:rsid w:val="008268EB"/>
    <w:pPr>
      <w:spacing w:before="120" w:after="60" w:line="240" w:lineRule="auto"/>
      <w:ind w:left="851"/>
    </w:pPr>
    <w:rPr>
      <w:rFonts w:ascii="Arial" w:eastAsia="Times New Roman" w:hAnsi="Arial" w:cs="Times New Roman"/>
      <w:szCs w:val="20"/>
    </w:rPr>
  </w:style>
  <w:style w:type="character" w:customStyle="1" w:styleId="TextChar">
    <w:name w:val="Text Char"/>
    <w:link w:val="Text"/>
    <w:rsid w:val="008268EB"/>
    <w:rPr>
      <w:rFonts w:ascii="Arial" w:eastAsia="Times New Roman" w:hAnsi="Arial" w:cs="Times New Roman"/>
      <w:szCs w:val="20"/>
    </w:rPr>
  </w:style>
  <w:style w:type="character" w:styleId="CommentReference">
    <w:name w:val="annotation reference"/>
    <w:basedOn w:val="DefaultParagraphFont"/>
    <w:uiPriority w:val="99"/>
    <w:unhideWhenUsed/>
    <w:qFormat/>
    <w:rsid w:val="008268EB"/>
    <w:rPr>
      <w:sz w:val="16"/>
      <w:szCs w:val="16"/>
    </w:rPr>
  </w:style>
  <w:style w:type="paragraph" w:styleId="CommentText">
    <w:name w:val="annotation text"/>
    <w:basedOn w:val="Normal"/>
    <w:link w:val="CommentTextChar"/>
    <w:uiPriority w:val="99"/>
    <w:unhideWhenUsed/>
    <w:qFormat/>
    <w:rsid w:val="008268EB"/>
    <w:pPr>
      <w:spacing w:before="120" w:after="0" w:line="22" w:lineRule="atLeast"/>
    </w:pPr>
    <w:rPr>
      <w:rFonts w:ascii="Cambria" w:eastAsia="Calibri" w:hAnsi="Cambria" w:cs="Times New Roman"/>
      <w:sz w:val="20"/>
      <w:szCs w:val="20"/>
    </w:rPr>
  </w:style>
  <w:style w:type="character" w:customStyle="1" w:styleId="CommentTextChar">
    <w:name w:val="Comment Text Char"/>
    <w:basedOn w:val="DefaultParagraphFont"/>
    <w:link w:val="CommentText"/>
    <w:uiPriority w:val="99"/>
    <w:rsid w:val="008268EB"/>
    <w:rPr>
      <w:rFonts w:ascii="Cambria" w:eastAsia="Calibri" w:hAnsi="Cambria" w:cs="Times New Roman"/>
      <w:sz w:val="20"/>
      <w:szCs w:val="20"/>
    </w:rPr>
  </w:style>
  <w:style w:type="paragraph" w:customStyle="1" w:styleId="Bullets">
    <w:name w:val="Bullets"/>
    <w:basedOn w:val="Normal"/>
    <w:qFormat/>
    <w:rsid w:val="008268EB"/>
    <w:pPr>
      <w:numPr>
        <w:numId w:val="5"/>
      </w:numPr>
      <w:spacing w:before="120" w:after="120" w:line="240" w:lineRule="auto"/>
    </w:pPr>
    <w:rPr>
      <w:rFonts w:ascii="Segoe UI Light" w:eastAsia="Times New Roman" w:hAnsi="Segoe UI Light" w:cs="Segoe UI Light"/>
      <w:szCs w:val="20"/>
    </w:rPr>
  </w:style>
  <w:style w:type="numbering" w:customStyle="1" w:styleId="NRCListBullets">
    <w:name w:val="NRC List Bullets"/>
    <w:rsid w:val="008268EB"/>
    <w:pPr>
      <w:numPr>
        <w:numId w:val="5"/>
      </w:numPr>
    </w:pPr>
  </w:style>
  <w:style w:type="paragraph" w:customStyle="1" w:styleId="Default">
    <w:name w:val="Default"/>
    <w:rsid w:val="008268EB"/>
    <w:pPr>
      <w:autoSpaceDE w:val="0"/>
      <w:autoSpaceDN w:val="0"/>
      <w:adjustRightInd w:val="0"/>
      <w:spacing w:after="0" w:line="240" w:lineRule="auto"/>
    </w:pPr>
    <w:rPr>
      <w:rFonts w:ascii="Cambria" w:hAnsi="Cambria" w:cs="Cambria"/>
      <w:color w:val="000000"/>
      <w:sz w:val="24"/>
      <w:szCs w:val="24"/>
    </w:rPr>
  </w:style>
  <w:style w:type="paragraph" w:styleId="ListNumber">
    <w:name w:val="List Number"/>
    <w:basedOn w:val="Normal"/>
    <w:uiPriority w:val="99"/>
    <w:unhideWhenUsed/>
    <w:qFormat/>
    <w:rsid w:val="008268EB"/>
    <w:pPr>
      <w:numPr>
        <w:numId w:val="4"/>
      </w:numPr>
      <w:spacing w:before="120" w:after="120" w:line="240" w:lineRule="auto"/>
      <w:contextualSpacing/>
    </w:pPr>
    <w:rPr>
      <w:rFonts w:ascii="Segoe UI" w:hAnsi="Segoe UI" w:cs="Segoe UI"/>
    </w:rPr>
  </w:style>
  <w:style w:type="paragraph" w:styleId="ListBullet2">
    <w:name w:val="List Bullet 2"/>
    <w:basedOn w:val="Normal"/>
    <w:uiPriority w:val="99"/>
    <w:unhideWhenUsed/>
    <w:qFormat/>
    <w:rsid w:val="008268EB"/>
    <w:pPr>
      <w:numPr>
        <w:numId w:val="3"/>
      </w:numPr>
      <w:spacing w:before="120" w:after="120" w:line="240" w:lineRule="auto"/>
      <w:contextualSpacing/>
    </w:pPr>
    <w:rPr>
      <w:rFonts w:ascii="Segoe UI" w:hAnsi="Segoe UI" w:cs="Segoe UI"/>
    </w:rPr>
  </w:style>
  <w:style w:type="character" w:customStyle="1" w:styleId="A4">
    <w:name w:val="A4"/>
    <w:uiPriority w:val="99"/>
    <w:rsid w:val="008268EB"/>
    <w:rPr>
      <w:rFonts w:cs="Univers 55"/>
      <w:color w:val="000000"/>
      <w:sz w:val="36"/>
      <w:szCs w:val="36"/>
    </w:rPr>
  </w:style>
  <w:style w:type="paragraph" w:customStyle="1" w:styleId="Pa9">
    <w:name w:val="Pa9"/>
    <w:basedOn w:val="Default"/>
    <w:next w:val="Default"/>
    <w:uiPriority w:val="99"/>
    <w:rsid w:val="008268EB"/>
    <w:pPr>
      <w:spacing w:line="181" w:lineRule="atLeast"/>
    </w:pPr>
    <w:rPr>
      <w:rFonts w:ascii="Univers 55" w:hAnsi="Univers 55" w:cs="Majalla UI"/>
      <w:color w:val="auto"/>
    </w:rPr>
  </w:style>
  <w:style w:type="character" w:styleId="Emphasis">
    <w:name w:val="Emphasis"/>
    <w:basedOn w:val="DefaultParagraphFont"/>
    <w:uiPriority w:val="20"/>
    <w:qFormat/>
    <w:rsid w:val="008268EB"/>
    <w:rPr>
      <w:i/>
      <w:iCs/>
    </w:rPr>
  </w:style>
  <w:style w:type="character" w:customStyle="1" w:styleId="A15">
    <w:name w:val="A15"/>
    <w:uiPriority w:val="99"/>
    <w:rsid w:val="008268EB"/>
    <w:rPr>
      <w:rFonts w:cs="AGaramond"/>
      <w:color w:val="000000"/>
      <w:sz w:val="13"/>
      <w:szCs w:val="13"/>
    </w:rPr>
  </w:style>
  <w:style w:type="paragraph" w:styleId="NormalWeb">
    <w:name w:val="Normal (Web)"/>
    <w:basedOn w:val="Normal"/>
    <w:uiPriority w:val="99"/>
    <w:semiHidden/>
    <w:unhideWhenUsed/>
    <w:rsid w:val="008268EB"/>
    <w:pPr>
      <w:spacing w:after="158"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8268EB"/>
    <w:pPr>
      <w:spacing w:after="120"/>
    </w:pPr>
    <w:rPr>
      <w:rFonts w:ascii="Segoe UI" w:eastAsia="Gill Sans MT" w:hAnsi="Segoe UI" w:cs="Majalla UI"/>
      <w:b/>
      <w:bCs/>
    </w:rPr>
  </w:style>
  <w:style w:type="character" w:customStyle="1" w:styleId="CommentSubjectChar">
    <w:name w:val="Comment Subject Char"/>
    <w:basedOn w:val="CommentTextChar"/>
    <w:link w:val="CommentSubject"/>
    <w:uiPriority w:val="99"/>
    <w:semiHidden/>
    <w:rsid w:val="008268EB"/>
    <w:rPr>
      <w:rFonts w:ascii="Cambria" w:eastAsia="Calibri" w:hAnsi="Cambria" w:cs="Times New Roman"/>
      <w:b/>
      <w:bCs/>
      <w:sz w:val="20"/>
      <w:szCs w:val="20"/>
    </w:rPr>
  </w:style>
  <w:style w:type="paragraph" w:customStyle="1" w:styleId="Pa20">
    <w:name w:val="Pa20"/>
    <w:basedOn w:val="Default"/>
    <w:next w:val="Default"/>
    <w:uiPriority w:val="99"/>
    <w:rsid w:val="008268EB"/>
    <w:pPr>
      <w:spacing w:line="141" w:lineRule="atLeast"/>
    </w:pPr>
    <w:rPr>
      <w:rFonts w:ascii="FS Me Light" w:hAnsi="FS Me Light" w:cs="Majalla UI"/>
      <w:color w:val="auto"/>
    </w:rPr>
  </w:style>
  <w:style w:type="character" w:customStyle="1" w:styleId="A29">
    <w:name w:val="A29"/>
    <w:uiPriority w:val="99"/>
    <w:rsid w:val="008268EB"/>
    <w:rPr>
      <w:rFonts w:cs="FS Me Light"/>
      <w:color w:val="000000"/>
      <w:sz w:val="9"/>
      <w:szCs w:val="9"/>
    </w:rPr>
  </w:style>
  <w:style w:type="paragraph" w:customStyle="1" w:styleId="Pa22">
    <w:name w:val="Pa22"/>
    <w:basedOn w:val="Default"/>
    <w:next w:val="Default"/>
    <w:uiPriority w:val="99"/>
    <w:rsid w:val="008268EB"/>
    <w:pPr>
      <w:spacing w:line="141" w:lineRule="atLeast"/>
    </w:pPr>
    <w:rPr>
      <w:rFonts w:ascii="FS Me Light" w:hAnsi="FS Me Light" w:cs="Majalla UI"/>
      <w:color w:val="auto"/>
    </w:rPr>
  </w:style>
  <w:style w:type="paragraph" w:customStyle="1" w:styleId="Pa4">
    <w:name w:val="Pa4"/>
    <w:basedOn w:val="Default"/>
    <w:next w:val="Default"/>
    <w:uiPriority w:val="99"/>
    <w:rsid w:val="008268EB"/>
    <w:pPr>
      <w:spacing w:line="201" w:lineRule="atLeast"/>
    </w:pPr>
    <w:rPr>
      <w:rFonts w:ascii="Arial" w:hAnsi="Arial" w:cs="Arial"/>
      <w:color w:val="auto"/>
    </w:rPr>
  </w:style>
  <w:style w:type="paragraph" w:customStyle="1" w:styleId="Pa5">
    <w:name w:val="Pa5"/>
    <w:basedOn w:val="Default"/>
    <w:next w:val="Default"/>
    <w:uiPriority w:val="99"/>
    <w:rsid w:val="008268EB"/>
    <w:pPr>
      <w:spacing w:line="201" w:lineRule="atLeast"/>
    </w:pPr>
    <w:rPr>
      <w:rFonts w:ascii="Arial" w:hAnsi="Arial" w:cs="Arial"/>
      <w:color w:val="auto"/>
    </w:rPr>
  </w:style>
  <w:style w:type="character" w:customStyle="1" w:styleId="A6">
    <w:name w:val="A6"/>
    <w:uiPriority w:val="99"/>
    <w:rsid w:val="008268EB"/>
    <w:rPr>
      <w:color w:val="000000"/>
      <w:sz w:val="20"/>
      <w:szCs w:val="20"/>
    </w:rPr>
  </w:style>
  <w:style w:type="paragraph" w:customStyle="1" w:styleId="Pa49">
    <w:name w:val="Pa49"/>
    <w:basedOn w:val="Default"/>
    <w:next w:val="Default"/>
    <w:uiPriority w:val="99"/>
    <w:rsid w:val="008268EB"/>
    <w:pPr>
      <w:spacing w:line="131" w:lineRule="atLeast"/>
    </w:pPr>
    <w:rPr>
      <w:rFonts w:ascii="FS Me Light" w:hAnsi="FS Me Light" w:cs="Majalla UI"/>
      <w:color w:val="auto"/>
    </w:rPr>
  </w:style>
  <w:style w:type="character" w:customStyle="1" w:styleId="A40">
    <w:name w:val="A40"/>
    <w:uiPriority w:val="99"/>
    <w:rsid w:val="008268EB"/>
    <w:rPr>
      <w:rFonts w:cs="FS Me Light"/>
      <w:color w:val="000000"/>
      <w:sz w:val="13"/>
      <w:szCs w:val="13"/>
      <w:u w:val="single"/>
    </w:rPr>
  </w:style>
  <w:style w:type="paragraph" w:customStyle="1" w:styleId="Pa15">
    <w:name w:val="Pa15"/>
    <w:basedOn w:val="Default"/>
    <w:next w:val="Default"/>
    <w:uiPriority w:val="99"/>
    <w:rsid w:val="008268EB"/>
    <w:pPr>
      <w:spacing w:line="201" w:lineRule="atLeast"/>
    </w:pPr>
    <w:rPr>
      <w:rFonts w:ascii="AGaramond" w:hAnsi="AGaramond" w:cs="Majalla UI"/>
      <w:color w:val="auto"/>
    </w:rPr>
  </w:style>
  <w:style w:type="paragraph" w:customStyle="1" w:styleId="Pa31">
    <w:name w:val="Pa31"/>
    <w:basedOn w:val="Default"/>
    <w:next w:val="Default"/>
    <w:uiPriority w:val="99"/>
    <w:rsid w:val="008268EB"/>
    <w:pPr>
      <w:spacing w:line="201" w:lineRule="atLeast"/>
    </w:pPr>
    <w:rPr>
      <w:rFonts w:ascii="AGaramond" w:hAnsi="AGaramond" w:cs="Majalla UI"/>
      <w:color w:val="auto"/>
    </w:rPr>
  </w:style>
  <w:style w:type="paragraph" w:customStyle="1" w:styleId="font5">
    <w:name w:val="font5"/>
    <w:basedOn w:val="Normal"/>
    <w:rsid w:val="008268EB"/>
    <w:pPr>
      <w:spacing w:before="100" w:beforeAutospacing="1" w:after="100" w:afterAutospacing="1" w:line="240" w:lineRule="auto"/>
    </w:pPr>
    <w:rPr>
      <w:rFonts w:ascii="Calibri" w:eastAsia="Times New Roman" w:hAnsi="Calibri" w:cs="Times New Roman"/>
      <w:color w:val="000000"/>
      <w:sz w:val="18"/>
      <w:szCs w:val="18"/>
      <w:lang w:eastAsia="en-AU"/>
    </w:rPr>
  </w:style>
  <w:style w:type="paragraph" w:customStyle="1" w:styleId="xl65">
    <w:name w:val="xl65"/>
    <w:basedOn w:val="Normal"/>
    <w:rsid w:val="008268EB"/>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66">
    <w:name w:val="xl66"/>
    <w:basedOn w:val="Normal"/>
    <w:rsid w:val="008268E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7">
    <w:name w:val="xl67"/>
    <w:basedOn w:val="Normal"/>
    <w:rsid w:val="008268E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8">
    <w:name w:val="xl68"/>
    <w:basedOn w:val="Normal"/>
    <w:rsid w:val="008268EB"/>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9">
    <w:name w:val="xl69"/>
    <w:basedOn w:val="Normal"/>
    <w:rsid w:val="008268EB"/>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Pa51">
    <w:name w:val="Pa51"/>
    <w:basedOn w:val="Default"/>
    <w:next w:val="Default"/>
    <w:uiPriority w:val="99"/>
    <w:rsid w:val="008268EB"/>
    <w:pPr>
      <w:spacing w:line="131" w:lineRule="atLeast"/>
    </w:pPr>
    <w:rPr>
      <w:rFonts w:ascii="FS Me Light" w:hAnsi="FS Me Light" w:cs="Majalla UI"/>
      <w:color w:val="auto"/>
    </w:rPr>
  </w:style>
  <w:style w:type="paragraph" w:customStyle="1" w:styleId="Pa36">
    <w:name w:val="Pa36"/>
    <w:basedOn w:val="Default"/>
    <w:next w:val="Default"/>
    <w:uiPriority w:val="99"/>
    <w:rsid w:val="008268EB"/>
    <w:pPr>
      <w:spacing w:line="131" w:lineRule="atLeast"/>
    </w:pPr>
    <w:rPr>
      <w:rFonts w:ascii="FS Me Light" w:hAnsi="FS Me Light" w:cs="Majalla UI"/>
      <w:color w:val="auto"/>
    </w:rPr>
  </w:style>
  <w:style w:type="character" w:customStyle="1" w:styleId="A9">
    <w:name w:val="A9"/>
    <w:uiPriority w:val="99"/>
    <w:rsid w:val="008268EB"/>
    <w:rPr>
      <w:rFonts w:cs="FS Me Light"/>
      <w:color w:val="000000"/>
      <w:sz w:val="13"/>
      <w:szCs w:val="13"/>
    </w:rPr>
  </w:style>
  <w:style w:type="paragraph" w:styleId="Revision">
    <w:name w:val="Revision"/>
    <w:hidden/>
    <w:uiPriority w:val="99"/>
    <w:semiHidden/>
    <w:rsid w:val="008268EB"/>
    <w:pPr>
      <w:spacing w:after="0" w:line="240" w:lineRule="auto"/>
    </w:pPr>
    <w:rPr>
      <w:rFonts w:ascii="Segoe UI" w:hAnsi="Segoe UI"/>
    </w:rPr>
  </w:style>
  <w:style w:type="paragraph" w:customStyle="1" w:styleId="Note">
    <w:name w:val="Note"/>
    <w:basedOn w:val="Normal"/>
    <w:qFormat/>
    <w:rsid w:val="008268EB"/>
    <w:pPr>
      <w:spacing w:before="60" w:after="60" w:line="240" w:lineRule="auto"/>
      <w:ind w:left="284" w:right="284"/>
    </w:pPr>
    <w:rPr>
      <w:rFonts w:ascii="Arial" w:eastAsia="STZhongsong" w:hAnsi="Arial" w:cs="Segoe UI"/>
      <w:sz w:val="18"/>
      <w:szCs w:val="24"/>
    </w:rPr>
  </w:style>
  <w:style w:type="paragraph" w:customStyle="1" w:styleId="Tabletext1">
    <w:name w:val="Table text"/>
    <w:basedOn w:val="BodyText"/>
    <w:link w:val="TabletextChar"/>
    <w:rsid w:val="008268EB"/>
    <w:pPr>
      <w:spacing w:before="60" w:after="60"/>
    </w:pPr>
    <w:rPr>
      <w:rFonts w:ascii="Arial" w:eastAsia="Times New Roman" w:hAnsi="Arial" w:cs="Times New Roman"/>
      <w:sz w:val="18"/>
      <w:szCs w:val="20"/>
    </w:rPr>
  </w:style>
  <w:style w:type="paragraph" w:customStyle="1" w:styleId="Tablefigure">
    <w:name w:val="Table figure"/>
    <w:basedOn w:val="Tabletext1"/>
    <w:rsid w:val="008268EB"/>
    <w:pPr>
      <w:jc w:val="right"/>
    </w:pPr>
  </w:style>
  <w:style w:type="paragraph" w:customStyle="1" w:styleId="Tableheading0">
    <w:name w:val="Table heading"/>
    <w:basedOn w:val="Tabletext1"/>
    <w:rsid w:val="008268EB"/>
    <w:pPr>
      <w:keepNext/>
    </w:pPr>
    <w:rPr>
      <w:b/>
    </w:rPr>
  </w:style>
  <w:style w:type="table" w:customStyle="1" w:styleId="TableGrid3">
    <w:name w:val="Table Grid3"/>
    <w:basedOn w:val="TableNormal"/>
    <w:next w:val="TableGrid"/>
    <w:uiPriority w:val="59"/>
    <w:rsid w:val="008268EB"/>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1"/>
    <w:rsid w:val="008268EB"/>
    <w:rPr>
      <w:rFonts w:ascii="Arial" w:eastAsia="Times New Roman" w:hAnsi="Arial" w:cs="Times New Roman"/>
      <w:sz w:val="18"/>
      <w:szCs w:val="20"/>
    </w:rPr>
  </w:style>
  <w:style w:type="paragraph" w:styleId="BodyText">
    <w:name w:val="Body Text"/>
    <w:basedOn w:val="Normal"/>
    <w:link w:val="BodyTextChar"/>
    <w:unhideWhenUsed/>
    <w:qFormat/>
    <w:rsid w:val="008268EB"/>
    <w:pPr>
      <w:spacing w:before="120" w:after="120" w:line="240" w:lineRule="auto"/>
    </w:pPr>
    <w:rPr>
      <w:rFonts w:ascii="Segoe UI" w:hAnsi="Segoe UI" w:cs="Segoe UI"/>
    </w:rPr>
  </w:style>
  <w:style w:type="character" w:customStyle="1" w:styleId="BodyTextChar">
    <w:name w:val="Body Text Char"/>
    <w:basedOn w:val="DefaultParagraphFont"/>
    <w:link w:val="BodyText"/>
    <w:rsid w:val="008268EB"/>
    <w:rPr>
      <w:rFonts w:ascii="Segoe UI" w:hAnsi="Segoe UI" w:cs="Segoe UI"/>
    </w:rPr>
  </w:style>
  <w:style w:type="character" w:customStyle="1" w:styleId="ListParagraphChar">
    <w:name w:val="List Paragraph Char"/>
    <w:aliases w:val="List Paragraph1 Char,List Paragraph11 Char,Recommendation Char,NFP GP Bulleted List Char,List Paragraph2 Char,FooterText Char,numbered Char,Paragraphe de liste1 Char,Bulletr List Paragraph Char,列出段落 Char,列出段落1 Char,Listeafsnit1 Char"/>
    <w:basedOn w:val="DefaultParagraphFont"/>
    <w:link w:val="ListParagraph"/>
    <w:uiPriority w:val="34"/>
    <w:rsid w:val="008268EB"/>
    <w:rPr>
      <w:rFonts w:ascii="Segoe UI" w:hAnsi="Segoe UI" w:cs="Segoe UI"/>
    </w:rPr>
  </w:style>
  <w:style w:type="character" w:customStyle="1" w:styleId="CaptionChar">
    <w:name w:val="Caption Char"/>
    <w:aliases w:val="Figure text or caption Char"/>
    <w:basedOn w:val="DefaultParagraphFont"/>
    <w:link w:val="Caption"/>
    <w:rsid w:val="008268EB"/>
    <w:rPr>
      <w:rFonts w:ascii="Segoe UI Semibold" w:eastAsia="Times New Roman" w:hAnsi="Segoe UI Semibold" w:cs="Times New Roman"/>
      <w:color w:val="016295"/>
    </w:rPr>
  </w:style>
  <w:style w:type="paragraph" w:customStyle="1" w:styleId="Quote1">
    <w:name w:val="Quote1"/>
    <w:basedOn w:val="Normal"/>
    <w:next w:val="Quote"/>
    <w:link w:val="QuoteChar"/>
    <w:qFormat/>
    <w:rsid w:val="008268EB"/>
    <w:pPr>
      <w:tabs>
        <w:tab w:val="left" w:pos="1134"/>
      </w:tabs>
      <w:spacing w:before="120" w:after="120" w:line="240" w:lineRule="atLeast"/>
      <w:ind w:left="284"/>
    </w:pPr>
    <w:rPr>
      <w:rFonts w:ascii="Segoe UI" w:eastAsia="Times New Roman" w:hAnsi="Segoe UI" w:cs="Arial"/>
      <w:i/>
      <w:iCs/>
      <w:color w:val="000000"/>
      <w:sz w:val="20"/>
      <w:szCs w:val="20"/>
      <w:lang w:eastAsia="en-AU"/>
    </w:rPr>
  </w:style>
  <w:style w:type="character" w:customStyle="1" w:styleId="QuoteChar">
    <w:name w:val="Quote Char"/>
    <w:basedOn w:val="DefaultParagraphFont"/>
    <w:link w:val="Quote1"/>
    <w:rsid w:val="008268EB"/>
    <w:rPr>
      <w:rFonts w:ascii="Segoe UI" w:eastAsia="Times New Roman" w:hAnsi="Segoe UI" w:cs="Arial"/>
      <w:i/>
      <w:iCs/>
      <w:color w:val="000000"/>
      <w:sz w:val="20"/>
      <w:szCs w:val="20"/>
      <w:lang w:eastAsia="en-AU"/>
    </w:rPr>
  </w:style>
  <w:style w:type="character" w:customStyle="1" w:styleId="NoSpacingChar">
    <w:name w:val="No Spacing Char"/>
    <w:basedOn w:val="DefaultParagraphFont"/>
    <w:link w:val="NoSpacing"/>
    <w:uiPriority w:val="1"/>
    <w:rsid w:val="008268EB"/>
    <w:rPr>
      <w:rFonts w:ascii="Segoe UI" w:hAnsi="Segoe UI"/>
    </w:rPr>
  </w:style>
  <w:style w:type="paragraph" w:customStyle="1" w:styleId="SOETableHeading1">
    <w:name w:val="SOE Table Heading 1"/>
    <w:basedOn w:val="Normal"/>
    <w:qFormat/>
    <w:rsid w:val="008268EB"/>
    <w:pPr>
      <w:spacing w:after="0" w:line="240" w:lineRule="auto"/>
    </w:pPr>
    <w:rPr>
      <w:rFonts w:ascii="Calibri" w:eastAsia="STZhongsong" w:hAnsi="Calibri" w:cs="Segoe UI"/>
      <w:b/>
      <w:sz w:val="20"/>
      <w:szCs w:val="20"/>
      <w:lang w:eastAsia="ko-KR"/>
    </w:rPr>
  </w:style>
  <w:style w:type="paragraph" w:customStyle="1" w:styleId="SOETableNumeral">
    <w:name w:val="SOE Table Numeral"/>
    <w:basedOn w:val="Normal"/>
    <w:qFormat/>
    <w:rsid w:val="008268EB"/>
    <w:pPr>
      <w:spacing w:after="0" w:line="240" w:lineRule="auto"/>
      <w:jc w:val="right"/>
    </w:pPr>
    <w:rPr>
      <w:rFonts w:ascii="Calibri" w:eastAsia="STZhongsong" w:hAnsi="Calibri" w:cs="Segoe UI"/>
      <w:sz w:val="20"/>
      <w:szCs w:val="20"/>
      <w:lang w:eastAsia="ko-KR"/>
    </w:rPr>
  </w:style>
  <w:style w:type="paragraph" w:customStyle="1" w:styleId="SOETableText">
    <w:name w:val="SOE Table Text"/>
    <w:basedOn w:val="Normal"/>
    <w:qFormat/>
    <w:rsid w:val="008268EB"/>
    <w:pPr>
      <w:spacing w:after="0" w:line="240" w:lineRule="auto"/>
    </w:pPr>
    <w:rPr>
      <w:rFonts w:ascii="Calibri" w:eastAsia="STZhongsong" w:hAnsi="Calibri" w:cs="Segoe UI"/>
      <w:sz w:val="20"/>
      <w:szCs w:val="20"/>
      <w:lang w:eastAsia="ko-KR"/>
    </w:rPr>
  </w:style>
  <w:style w:type="paragraph" w:customStyle="1" w:styleId="SOEFigureNote">
    <w:name w:val="SOE Figure Note"/>
    <w:basedOn w:val="SOEFigureDataSource"/>
    <w:qFormat/>
    <w:rsid w:val="008268EB"/>
    <w:pPr>
      <w:spacing w:after="0"/>
    </w:pPr>
  </w:style>
  <w:style w:type="paragraph" w:customStyle="1" w:styleId="SOEFigureDataSource">
    <w:name w:val="SOE Figure Data Source"/>
    <w:basedOn w:val="Normal"/>
    <w:qFormat/>
    <w:rsid w:val="008268EB"/>
    <w:pPr>
      <w:spacing w:line="240" w:lineRule="auto"/>
    </w:pPr>
    <w:rPr>
      <w:rFonts w:ascii="Calibri" w:eastAsia="STZhongsong" w:hAnsi="Calibri" w:cs="Segoe UI"/>
      <w:bCs/>
      <w:sz w:val="20"/>
      <w:szCs w:val="20"/>
      <w:lang w:eastAsia="ko-KR"/>
    </w:rPr>
  </w:style>
  <w:style w:type="paragraph" w:customStyle="1" w:styleId="SOEListLevel1">
    <w:name w:val="SOE List Level 1"/>
    <w:basedOn w:val="ListParagraph"/>
    <w:qFormat/>
    <w:rsid w:val="008268EB"/>
    <w:pPr>
      <w:numPr>
        <w:numId w:val="6"/>
      </w:numPr>
      <w:spacing w:before="0" w:after="160" w:line="259" w:lineRule="auto"/>
    </w:pPr>
    <w:rPr>
      <w:rFonts w:ascii="Calibri" w:eastAsia="Calibri" w:hAnsi="Calibri" w:cs="Calibri"/>
      <w:lang w:eastAsia="ko-KR"/>
    </w:rPr>
  </w:style>
  <w:style w:type="paragraph" w:customStyle="1" w:styleId="Subtitle1">
    <w:name w:val="Subtitle1"/>
    <w:basedOn w:val="Normal"/>
    <w:next w:val="Normal"/>
    <w:uiPriority w:val="11"/>
    <w:qFormat/>
    <w:rsid w:val="008268EB"/>
    <w:pPr>
      <w:numPr>
        <w:ilvl w:val="1"/>
      </w:numPr>
    </w:pPr>
    <w:rPr>
      <w:rFonts w:ascii="Gill Sans MT" w:eastAsia="STZhongsong" w:hAnsi="Gill Sans MT" w:cs="Segoe UI"/>
      <w:i/>
      <w:color w:val="404040"/>
      <w:spacing w:val="15"/>
      <w:sz w:val="24"/>
    </w:rPr>
  </w:style>
  <w:style w:type="character" w:customStyle="1" w:styleId="SubtitleChar">
    <w:name w:val="Subtitle Char"/>
    <w:basedOn w:val="DefaultParagraphFont"/>
    <w:link w:val="Subtitle"/>
    <w:uiPriority w:val="23"/>
    <w:rsid w:val="008268EB"/>
    <w:rPr>
      <w:rFonts w:ascii="Gill Sans MT" w:eastAsia="STZhongsong" w:hAnsi="Gill Sans MT"/>
      <w:i/>
      <w:color w:val="404040"/>
      <w:spacing w:val="15"/>
      <w:sz w:val="24"/>
    </w:rPr>
  </w:style>
  <w:style w:type="paragraph" w:customStyle="1" w:styleId="SOEBodyTextLead-in">
    <w:name w:val="SOE Body Text Lead-in"/>
    <w:qFormat/>
    <w:rsid w:val="008268EB"/>
    <w:pPr>
      <w:spacing w:after="0"/>
      <w:jc w:val="both"/>
    </w:pPr>
    <w:rPr>
      <w:rFonts w:ascii="Calibri" w:eastAsia="STZhongsong" w:hAnsi="Calibri"/>
      <w:lang w:eastAsia="ko-KR"/>
    </w:rPr>
  </w:style>
  <w:style w:type="paragraph" w:customStyle="1" w:styleId="SOENumberedList">
    <w:name w:val="SOE Numbered List"/>
    <w:basedOn w:val="ListParagraph"/>
    <w:qFormat/>
    <w:rsid w:val="008268EB"/>
    <w:pPr>
      <w:numPr>
        <w:numId w:val="7"/>
      </w:numPr>
      <w:tabs>
        <w:tab w:val="num" w:pos="360"/>
      </w:tabs>
      <w:spacing w:before="0" w:after="160" w:line="259" w:lineRule="auto"/>
      <w:ind w:firstLine="0"/>
    </w:pPr>
    <w:rPr>
      <w:rFonts w:ascii="Gill Sans MT" w:eastAsia="STZhongsong" w:hAnsi="Gill Sans MT"/>
      <w:lang w:eastAsia="ko-KR"/>
    </w:rPr>
  </w:style>
  <w:style w:type="paragraph" w:customStyle="1" w:styleId="SOEBodyText">
    <w:name w:val="SOE Body Text"/>
    <w:basedOn w:val="Normal"/>
    <w:qFormat/>
    <w:rsid w:val="008268EB"/>
    <w:pPr>
      <w:jc w:val="both"/>
    </w:pPr>
    <w:rPr>
      <w:rFonts w:ascii="Calibri" w:eastAsia="STZhongsong" w:hAnsi="Calibri" w:cs="Segoe UI"/>
      <w:lang w:eastAsia="ko-KR"/>
    </w:rPr>
  </w:style>
  <w:style w:type="character" w:customStyle="1" w:styleId="UnresolvedMention1">
    <w:name w:val="Unresolved Mention1"/>
    <w:basedOn w:val="DefaultParagraphFont"/>
    <w:uiPriority w:val="99"/>
    <w:semiHidden/>
    <w:unhideWhenUsed/>
    <w:rsid w:val="008268EB"/>
    <w:rPr>
      <w:color w:val="605E5C"/>
      <w:shd w:val="clear" w:color="auto" w:fill="E1DFDD"/>
    </w:rPr>
  </w:style>
  <w:style w:type="paragraph" w:styleId="ListBullet3">
    <w:name w:val="List Bullet 3"/>
    <w:basedOn w:val="Normal"/>
    <w:uiPriority w:val="99"/>
    <w:unhideWhenUsed/>
    <w:rsid w:val="008268EB"/>
    <w:pPr>
      <w:numPr>
        <w:numId w:val="8"/>
      </w:numPr>
      <w:tabs>
        <w:tab w:val="num" w:pos="360"/>
      </w:tabs>
      <w:spacing w:before="120" w:after="120" w:line="240" w:lineRule="auto"/>
      <w:ind w:left="0" w:firstLine="0"/>
      <w:contextualSpacing/>
    </w:pPr>
    <w:rPr>
      <w:rFonts w:ascii="Segoe UI" w:hAnsi="Segoe UI" w:cs="Segoe UI"/>
    </w:rPr>
  </w:style>
  <w:style w:type="paragraph" w:styleId="BodyTextIndent2">
    <w:name w:val="Body Text Indent 2"/>
    <w:basedOn w:val="Normal"/>
    <w:link w:val="BodyTextIndent2Char"/>
    <w:semiHidden/>
    <w:unhideWhenUsed/>
    <w:rsid w:val="008268EB"/>
    <w:pPr>
      <w:spacing w:before="120" w:after="120" w:line="480" w:lineRule="auto"/>
      <w:ind w:left="283"/>
    </w:pPr>
    <w:rPr>
      <w:rFonts w:ascii="Segoe UI" w:hAnsi="Segoe UI" w:cs="Segoe UI"/>
    </w:rPr>
  </w:style>
  <w:style w:type="character" w:customStyle="1" w:styleId="BodyTextIndent2Char">
    <w:name w:val="Body Text Indent 2 Char"/>
    <w:basedOn w:val="DefaultParagraphFont"/>
    <w:link w:val="BodyTextIndent2"/>
    <w:semiHidden/>
    <w:rsid w:val="008268EB"/>
    <w:rPr>
      <w:rFonts w:ascii="Segoe UI" w:hAnsi="Segoe UI" w:cs="Segoe UI"/>
    </w:rPr>
  </w:style>
  <w:style w:type="paragraph" w:customStyle="1" w:styleId="Tablehead">
    <w:name w:val="Table head"/>
    <w:basedOn w:val="Normal"/>
    <w:rsid w:val="008268EB"/>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val="en-US" w:eastAsia="en-AU"/>
    </w:rPr>
  </w:style>
  <w:style w:type="paragraph" w:styleId="EndnoteText">
    <w:name w:val="endnote text"/>
    <w:basedOn w:val="Normal"/>
    <w:link w:val="EndnoteTextChar"/>
    <w:uiPriority w:val="99"/>
    <w:semiHidden/>
    <w:unhideWhenUsed/>
    <w:rsid w:val="008268EB"/>
    <w:pPr>
      <w:spacing w:after="0" w:line="240" w:lineRule="auto"/>
    </w:pPr>
    <w:rPr>
      <w:rFonts w:ascii="Segoe UI" w:hAnsi="Segoe UI" w:cs="Segoe UI"/>
      <w:sz w:val="20"/>
      <w:szCs w:val="20"/>
    </w:rPr>
  </w:style>
  <w:style w:type="character" w:customStyle="1" w:styleId="EndnoteTextChar">
    <w:name w:val="Endnote Text Char"/>
    <w:basedOn w:val="DefaultParagraphFont"/>
    <w:link w:val="EndnoteText"/>
    <w:uiPriority w:val="99"/>
    <w:semiHidden/>
    <w:rsid w:val="008268EB"/>
    <w:rPr>
      <w:rFonts w:ascii="Segoe UI" w:hAnsi="Segoe UI" w:cs="Segoe UI"/>
      <w:sz w:val="20"/>
      <w:szCs w:val="20"/>
    </w:rPr>
  </w:style>
  <w:style w:type="character" w:styleId="EndnoteReference">
    <w:name w:val="endnote reference"/>
    <w:basedOn w:val="DefaultParagraphFont"/>
    <w:uiPriority w:val="99"/>
    <w:semiHidden/>
    <w:unhideWhenUsed/>
    <w:rsid w:val="008268EB"/>
    <w:rPr>
      <w:vertAlign w:val="superscript"/>
    </w:rPr>
  </w:style>
  <w:style w:type="paragraph" w:customStyle="1" w:styleId="paragraph">
    <w:name w:val="paragraph"/>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268EB"/>
  </w:style>
  <w:style w:type="character" w:customStyle="1" w:styleId="eop">
    <w:name w:val="eop"/>
    <w:basedOn w:val="DefaultParagraphFont"/>
    <w:rsid w:val="008268EB"/>
  </w:style>
  <w:style w:type="character" w:customStyle="1" w:styleId="spellingerror">
    <w:name w:val="spellingerror"/>
    <w:basedOn w:val="DefaultParagraphFont"/>
    <w:rsid w:val="008268EB"/>
  </w:style>
  <w:style w:type="character" w:customStyle="1" w:styleId="contextualspellingandgrammarerror">
    <w:name w:val="contextualspellingandgrammarerror"/>
    <w:basedOn w:val="DefaultParagraphFont"/>
    <w:rsid w:val="008268EB"/>
  </w:style>
  <w:style w:type="paragraph" w:customStyle="1" w:styleId="msonormal0">
    <w:name w:val="msonormal"/>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Left">
    <w:name w:val="Table Heading Left"/>
    <w:basedOn w:val="TableTextLeft"/>
    <w:qFormat/>
    <w:rsid w:val="008268EB"/>
    <w:pPr>
      <w:keepNext/>
      <w:keepLines/>
    </w:pPr>
    <w:rPr>
      <w:b/>
    </w:rPr>
  </w:style>
  <w:style w:type="paragraph" w:customStyle="1" w:styleId="TableTextLeft">
    <w:name w:val="Table Text Left"/>
    <w:basedOn w:val="Normal"/>
    <w:link w:val="TableTextLeftChar"/>
    <w:qFormat/>
    <w:rsid w:val="008268EB"/>
    <w:pPr>
      <w:spacing w:before="60" w:after="60" w:line="220" w:lineRule="atLeast"/>
      <w:ind w:left="113" w:right="113"/>
    </w:pPr>
    <w:rPr>
      <w:rFonts w:ascii="Segoe UI" w:eastAsia="Times New Roman" w:hAnsi="Segoe UI" w:cs="Arial"/>
      <w:color w:val="000000"/>
      <w:sz w:val="18"/>
      <w:szCs w:val="20"/>
      <w:lang w:eastAsia="en-AU"/>
    </w:rPr>
  </w:style>
  <w:style w:type="character" w:styleId="SubtleEmphasis">
    <w:name w:val="Subtle Emphasis"/>
    <w:basedOn w:val="DefaultParagraphFont"/>
    <w:uiPriority w:val="19"/>
    <w:qFormat/>
    <w:rsid w:val="008268EB"/>
    <w:rPr>
      <w:i/>
      <w:iCs/>
      <w:color w:val="404040" w:themeColor="text1" w:themeTint="BF"/>
    </w:rPr>
  </w:style>
  <w:style w:type="paragraph" w:styleId="Footer">
    <w:name w:val="footer"/>
    <w:basedOn w:val="Normal"/>
    <w:link w:val="FooterChar1"/>
    <w:uiPriority w:val="99"/>
    <w:unhideWhenUsed/>
    <w:rsid w:val="008268EB"/>
    <w:pPr>
      <w:tabs>
        <w:tab w:val="center" w:pos="4513"/>
        <w:tab w:val="right" w:pos="9026"/>
      </w:tabs>
      <w:spacing w:after="0" w:line="240" w:lineRule="auto"/>
    </w:pPr>
    <w:rPr>
      <w:rFonts w:ascii="Segoe UI" w:hAnsi="Segoe UI" w:cs="Segoe UI"/>
    </w:rPr>
  </w:style>
  <w:style w:type="character" w:customStyle="1" w:styleId="FooterChar1">
    <w:name w:val="Footer Char1"/>
    <w:basedOn w:val="DefaultParagraphFont"/>
    <w:link w:val="Footer"/>
    <w:uiPriority w:val="99"/>
    <w:rsid w:val="008268EB"/>
    <w:rPr>
      <w:rFonts w:ascii="Segoe UI" w:hAnsi="Segoe UI" w:cs="Segoe UI"/>
    </w:rPr>
  </w:style>
  <w:style w:type="character" w:customStyle="1" w:styleId="Heading3Char1">
    <w:name w:val="Heading 3 Char1"/>
    <w:basedOn w:val="DefaultParagraphFont"/>
    <w:uiPriority w:val="9"/>
    <w:semiHidden/>
    <w:rsid w:val="008268EB"/>
    <w:rPr>
      <w:rFonts w:asciiTheme="majorHAnsi" w:eastAsiaTheme="majorEastAsia" w:hAnsiTheme="majorHAnsi" w:cstheme="majorBidi"/>
      <w:color w:val="1F3763" w:themeColor="accent1" w:themeShade="7F"/>
      <w:sz w:val="24"/>
      <w:szCs w:val="24"/>
    </w:rPr>
  </w:style>
  <w:style w:type="character" w:customStyle="1" w:styleId="Heading5Char1">
    <w:name w:val="Heading 5 Char1"/>
    <w:basedOn w:val="DefaultParagraphFont"/>
    <w:uiPriority w:val="9"/>
    <w:semiHidden/>
    <w:rsid w:val="008268EB"/>
    <w:rPr>
      <w:rFonts w:asciiTheme="majorHAnsi" w:eastAsiaTheme="majorEastAsia" w:hAnsiTheme="majorHAnsi" w:cstheme="majorBidi"/>
      <w:color w:val="2F5496" w:themeColor="accent1" w:themeShade="BF"/>
    </w:rPr>
  </w:style>
  <w:style w:type="table" w:styleId="LightList-Accent3">
    <w:name w:val="Light List Accent 3"/>
    <w:basedOn w:val="TableNormal"/>
    <w:uiPriority w:val="61"/>
    <w:unhideWhenUsed/>
    <w:rsid w:val="008268E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
    <w:name w:val="Light Shading"/>
    <w:basedOn w:val="TableNormal"/>
    <w:uiPriority w:val="60"/>
    <w:unhideWhenUsed/>
    <w:rsid w:val="008268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8268E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6">
    <w:name w:val="Light Shading Accent 6"/>
    <w:basedOn w:val="TableNormal"/>
    <w:uiPriority w:val="60"/>
    <w:unhideWhenUsed/>
    <w:rsid w:val="008268E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2">
    <w:name w:val="Light Shading Accent 2"/>
    <w:basedOn w:val="TableNormal"/>
    <w:uiPriority w:val="60"/>
    <w:unhideWhenUsed/>
    <w:rsid w:val="008268E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FootnoteText">
    <w:name w:val="footnote text"/>
    <w:aliases w:val="ALTS FOOTNOTE,Footnote Text Char Char,ALTS FOOTNOTE Char Char,ALTS FOOTNOTE Char1,URS Footnote Text,Char,Char1,Geneva 9,Font: Geneva 9,Boston 10,f,single space,footnote text,otnote Text,ft,Char Char Char Char,Fußnote,ADB Char Char"/>
    <w:basedOn w:val="Normal"/>
    <w:link w:val="FootnoteTextChar1"/>
    <w:unhideWhenUsed/>
    <w:qFormat/>
    <w:rsid w:val="008268EB"/>
    <w:pPr>
      <w:spacing w:after="0" w:line="240" w:lineRule="auto"/>
    </w:pPr>
    <w:rPr>
      <w:rFonts w:ascii="Segoe UI" w:hAnsi="Segoe UI" w:cs="Segoe UI"/>
      <w:sz w:val="18"/>
      <w:szCs w:val="20"/>
    </w:rPr>
  </w:style>
  <w:style w:type="character" w:customStyle="1" w:styleId="FootnoteTextChar1">
    <w:name w:val="Footnote Text Char1"/>
    <w:aliases w:val="ALTS FOOTNOTE Char2,Footnote Text Char Char Char1,ALTS FOOTNOTE Char Char Char1,ALTS FOOTNOTE Char1 Char1,URS Footnote Text Char1,Char Char1,Char1 Char1,Geneva 9 Char1,Font: Geneva 9 Char1,Boston 10 Char1,f Char,single space Char"/>
    <w:basedOn w:val="DefaultParagraphFont"/>
    <w:link w:val="FootnoteText"/>
    <w:rsid w:val="008268EB"/>
    <w:rPr>
      <w:rFonts w:ascii="Segoe UI" w:hAnsi="Segoe UI" w:cs="Segoe UI"/>
      <w:sz w:val="18"/>
      <w:szCs w:val="20"/>
    </w:rPr>
  </w:style>
  <w:style w:type="table" w:styleId="MediumList2-Accent1">
    <w:name w:val="Medium List 2 Accent 1"/>
    <w:basedOn w:val="TableNormal"/>
    <w:uiPriority w:val="66"/>
    <w:unhideWhenUsed/>
    <w:rsid w:val="008268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qFormat/>
    <w:rsid w:val="008268EB"/>
    <w:pPr>
      <w:spacing w:after="0" w:line="240" w:lineRule="auto"/>
      <w:contextualSpacing/>
    </w:pPr>
    <w:rPr>
      <w:rFonts w:ascii="Segoe UI Semibold" w:hAnsi="Segoe UI Semibold"/>
      <w:color w:val="9AF6FD"/>
      <w:sz w:val="44"/>
      <w:szCs w:val="44"/>
    </w:rPr>
  </w:style>
  <w:style w:type="character" w:customStyle="1" w:styleId="TitleChar1">
    <w:name w:val="Title Char1"/>
    <w:basedOn w:val="DefaultParagraphFont"/>
    <w:uiPriority w:val="10"/>
    <w:rsid w:val="008268EB"/>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8268EB"/>
    <w:rPr>
      <w:color w:val="954F72" w:themeColor="followedHyperlink"/>
      <w:u w:val="single"/>
    </w:rPr>
  </w:style>
  <w:style w:type="character" w:customStyle="1" w:styleId="Heading6Char1">
    <w:name w:val="Heading 6 Char1"/>
    <w:basedOn w:val="DefaultParagraphFont"/>
    <w:uiPriority w:val="9"/>
    <w:semiHidden/>
    <w:rsid w:val="008268EB"/>
    <w:rPr>
      <w:rFonts w:asciiTheme="majorHAnsi" w:eastAsiaTheme="majorEastAsia" w:hAnsiTheme="majorHAnsi" w:cstheme="majorBidi"/>
      <w:color w:val="1F3763" w:themeColor="accent1" w:themeShade="7F"/>
    </w:rPr>
  </w:style>
  <w:style w:type="paragraph" w:styleId="CommentSubject">
    <w:name w:val="annotation subject"/>
    <w:basedOn w:val="CommentText"/>
    <w:next w:val="CommentText"/>
    <w:link w:val="CommentSubjectChar"/>
    <w:uiPriority w:val="99"/>
    <w:semiHidden/>
    <w:unhideWhenUsed/>
    <w:rsid w:val="008268EB"/>
    <w:pPr>
      <w:spacing w:before="0" w:after="160"/>
    </w:pPr>
    <w:rPr>
      <w:b/>
      <w:bCs/>
    </w:rPr>
  </w:style>
  <w:style w:type="character" w:customStyle="1" w:styleId="CommentSubjectChar1">
    <w:name w:val="Comment Subject Char1"/>
    <w:basedOn w:val="CommentTextChar"/>
    <w:uiPriority w:val="99"/>
    <w:semiHidden/>
    <w:rsid w:val="008268EB"/>
    <w:rPr>
      <w:rFonts w:ascii="Cambria" w:eastAsia="Calibri" w:hAnsi="Cambria" w:cs="Times New Roman"/>
      <w:b/>
      <w:bCs/>
      <w:sz w:val="20"/>
      <w:szCs w:val="20"/>
    </w:rPr>
  </w:style>
  <w:style w:type="paragraph" w:styleId="Caption">
    <w:name w:val="caption"/>
    <w:aliases w:val="Figure text or caption"/>
    <w:basedOn w:val="Normal"/>
    <w:next w:val="Normal"/>
    <w:link w:val="CaptionChar"/>
    <w:unhideWhenUsed/>
    <w:qFormat/>
    <w:rsid w:val="008268EB"/>
    <w:pPr>
      <w:spacing w:after="200" w:line="240" w:lineRule="auto"/>
    </w:pPr>
    <w:rPr>
      <w:rFonts w:ascii="Segoe UI Semibold" w:eastAsia="Times New Roman" w:hAnsi="Segoe UI Semibold" w:cs="Times New Roman"/>
      <w:color w:val="016295"/>
    </w:rPr>
  </w:style>
  <w:style w:type="paragraph" w:styleId="Quote">
    <w:name w:val="Quote"/>
    <w:basedOn w:val="Normal"/>
    <w:next w:val="Normal"/>
    <w:link w:val="QuoteChar1"/>
    <w:qFormat/>
    <w:rsid w:val="008268EB"/>
    <w:pPr>
      <w:spacing w:before="200"/>
      <w:ind w:left="864" w:right="864"/>
      <w:jc w:val="center"/>
    </w:pPr>
    <w:rPr>
      <w:rFonts w:ascii="Segoe UI" w:hAnsi="Segoe UI" w:cs="Segoe UI"/>
      <w:i/>
      <w:iCs/>
      <w:color w:val="404040" w:themeColor="text1" w:themeTint="BF"/>
    </w:rPr>
  </w:style>
  <w:style w:type="character" w:customStyle="1" w:styleId="QuoteChar1">
    <w:name w:val="Quote Char1"/>
    <w:basedOn w:val="DefaultParagraphFont"/>
    <w:link w:val="Quote"/>
    <w:rsid w:val="008268EB"/>
    <w:rPr>
      <w:rFonts w:ascii="Segoe UI" w:hAnsi="Segoe UI" w:cs="Segoe UI"/>
      <w:i/>
      <w:iCs/>
      <w:color w:val="404040" w:themeColor="text1" w:themeTint="BF"/>
    </w:rPr>
  </w:style>
  <w:style w:type="paragraph" w:styleId="Subtitle">
    <w:name w:val="Subtitle"/>
    <w:basedOn w:val="Normal"/>
    <w:next w:val="Normal"/>
    <w:link w:val="SubtitleChar"/>
    <w:uiPriority w:val="23"/>
    <w:qFormat/>
    <w:rsid w:val="008268EB"/>
    <w:pPr>
      <w:numPr>
        <w:ilvl w:val="1"/>
      </w:numPr>
    </w:pPr>
    <w:rPr>
      <w:rFonts w:ascii="Gill Sans MT" w:eastAsia="STZhongsong" w:hAnsi="Gill Sans MT"/>
      <w:i/>
      <w:color w:val="404040"/>
      <w:spacing w:val="15"/>
      <w:sz w:val="24"/>
    </w:rPr>
  </w:style>
  <w:style w:type="character" w:customStyle="1" w:styleId="SubtitleChar1">
    <w:name w:val="Subtitle Char1"/>
    <w:basedOn w:val="DefaultParagraphFont"/>
    <w:uiPriority w:val="11"/>
    <w:rsid w:val="008268EB"/>
    <w:rPr>
      <w:rFonts w:eastAsiaTheme="minorEastAsia"/>
      <w:color w:val="5A5A5A" w:themeColor="text1" w:themeTint="A5"/>
      <w:spacing w:val="15"/>
    </w:rPr>
  </w:style>
  <w:style w:type="table" w:customStyle="1" w:styleId="Style1">
    <w:name w:val="Style1"/>
    <w:basedOn w:val="TableNormal"/>
    <w:uiPriority w:val="99"/>
    <w:rsid w:val="008268EB"/>
    <w:pPr>
      <w:spacing w:after="0" w:line="240" w:lineRule="auto"/>
    </w:pPr>
    <w:tblPr/>
  </w:style>
  <w:style w:type="paragraph" w:customStyle="1" w:styleId="CaptionImageorFigure">
    <w:name w:val="Caption Image or Figure"/>
    <w:basedOn w:val="Caption"/>
    <w:qFormat/>
    <w:rsid w:val="008268EB"/>
    <w:pPr>
      <w:keepNext/>
      <w:spacing w:before="60" w:after="120" w:line="200" w:lineRule="atLeast"/>
      <w:jc w:val="both"/>
    </w:pPr>
    <w:rPr>
      <w:rFonts w:asciiTheme="minorHAnsi" w:hAnsiTheme="minorHAnsi" w:cs="Arial"/>
      <w:b/>
      <w:bCs/>
      <w:color w:val="000000" w:themeColor="text1"/>
      <w:sz w:val="16"/>
      <w:szCs w:val="20"/>
      <w:lang w:eastAsia="en-AU"/>
    </w:rPr>
  </w:style>
  <w:style w:type="paragraph" w:customStyle="1" w:styleId="PhotoCredit">
    <w:name w:val="Photo Credit"/>
    <w:basedOn w:val="Normal"/>
    <w:next w:val="BodyText"/>
    <w:qFormat/>
    <w:rsid w:val="008268EB"/>
    <w:pPr>
      <w:spacing w:before="60" w:after="60" w:line="240" w:lineRule="auto"/>
      <w:ind w:right="227"/>
      <w:jc w:val="both"/>
    </w:pPr>
    <w:rPr>
      <w:rFonts w:eastAsia="Times New Roman" w:cs="Times New Roman"/>
      <w:color w:val="000000" w:themeColor="text1"/>
      <w:sz w:val="16"/>
      <w:szCs w:val="14"/>
    </w:rPr>
  </w:style>
  <w:style w:type="paragraph" w:customStyle="1" w:styleId="xl70">
    <w:name w:val="xl70"/>
    <w:basedOn w:val="Normal"/>
    <w:rsid w:val="008268EB"/>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1">
    <w:name w:val="xl71"/>
    <w:basedOn w:val="Normal"/>
    <w:rsid w:val="008268EB"/>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2">
    <w:name w:val="xl72"/>
    <w:basedOn w:val="Normal"/>
    <w:rsid w:val="008268EB"/>
    <w:pPr>
      <w:pBdr>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3">
    <w:name w:val="xl73"/>
    <w:basedOn w:val="Normal"/>
    <w:rsid w:val="008268EB"/>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4">
    <w:name w:val="xl74"/>
    <w:basedOn w:val="Normal"/>
    <w:rsid w:val="008268EB"/>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75">
    <w:name w:val="xl75"/>
    <w:basedOn w:val="Normal"/>
    <w:rsid w:val="008268EB"/>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6">
    <w:name w:val="xl76"/>
    <w:basedOn w:val="Normal"/>
    <w:rsid w:val="008268EB"/>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7">
    <w:name w:val="xl77"/>
    <w:basedOn w:val="Normal"/>
    <w:rsid w:val="008268EB"/>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78">
    <w:name w:val="xl78"/>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9">
    <w:name w:val="xl79"/>
    <w:basedOn w:val="Normal"/>
    <w:rsid w:val="008268EB"/>
    <w:pPr>
      <w:pBdr>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0">
    <w:name w:val="xl80"/>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1">
    <w:name w:val="xl81"/>
    <w:basedOn w:val="Normal"/>
    <w:rsid w:val="008268EB"/>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2">
    <w:name w:val="xl82"/>
    <w:basedOn w:val="Normal"/>
    <w:rsid w:val="008268EB"/>
    <w:pPr>
      <w:pBdr>
        <w:left w:val="single" w:sz="4" w:space="0" w:color="000000"/>
        <w:bottom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83">
    <w:name w:val="xl83"/>
    <w:basedOn w:val="Normal"/>
    <w:rsid w:val="008268EB"/>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4">
    <w:name w:val="xl84"/>
    <w:basedOn w:val="Normal"/>
    <w:rsid w:val="008268EB"/>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5">
    <w:name w:val="xl85"/>
    <w:basedOn w:val="Normal"/>
    <w:rsid w:val="008268EB"/>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6">
    <w:name w:val="xl86"/>
    <w:basedOn w:val="Normal"/>
    <w:rsid w:val="008268EB"/>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87">
    <w:name w:val="xl87"/>
    <w:basedOn w:val="Normal"/>
    <w:rsid w:val="008268EB"/>
    <w:pPr>
      <w:pBdr>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character" w:customStyle="1" w:styleId="SOEitalicscharacterstyle">
    <w:name w:val="SOE italics character style"/>
    <w:basedOn w:val="DefaultParagraphFont"/>
    <w:uiPriority w:val="1"/>
    <w:qFormat/>
    <w:rsid w:val="008268EB"/>
    <w:rPr>
      <w:i/>
    </w:rPr>
  </w:style>
  <w:style w:type="table" w:customStyle="1" w:styleId="TableGrid1">
    <w:name w:val="Table Grid1"/>
    <w:basedOn w:val="TableNormal"/>
    <w:next w:val="TableGrid"/>
    <w:uiPriority w:val="59"/>
    <w:rsid w:val="0082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268EB"/>
  </w:style>
  <w:style w:type="paragraph" w:styleId="TOCHeading">
    <w:name w:val="TOC Heading"/>
    <w:basedOn w:val="Heading1"/>
    <w:next w:val="Normal"/>
    <w:uiPriority w:val="39"/>
    <w:unhideWhenUsed/>
    <w:qFormat/>
    <w:rsid w:val="008268EB"/>
    <w:pPr>
      <w:keepNext/>
      <w:keepLines/>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numbering" w:customStyle="1" w:styleId="List1">
    <w:name w:val="List1"/>
    <w:basedOn w:val="NoList"/>
    <w:uiPriority w:val="99"/>
    <w:rsid w:val="008268EB"/>
    <w:pPr>
      <w:numPr>
        <w:numId w:val="27"/>
      </w:numPr>
    </w:pPr>
  </w:style>
  <w:style w:type="paragraph" w:styleId="ListNumber2">
    <w:name w:val="List Number 2"/>
    <w:uiPriority w:val="10"/>
    <w:qFormat/>
    <w:rsid w:val="008268EB"/>
    <w:pPr>
      <w:spacing w:before="120" w:after="120" w:line="264" w:lineRule="auto"/>
      <w:ind w:left="794" w:hanging="369"/>
    </w:pPr>
    <w:rPr>
      <w:rFonts w:ascii="Cambria" w:eastAsia="Times New Roman" w:hAnsi="Cambria" w:cs="Times New Roman"/>
      <w:szCs w:val="24"/>
    </w:rPr>
  </w:style>
  <w:style w:type="paragraph" w:styleId="ListNumber3">
    <w:name w:val="List Number 3"/>
    <w:uiPriority w:val="11"/>
    <w:qFormat/>
    <w:rsid w:val="008268EB"/>
    <w:pPr>
      <w:spacing w:before="120" w:after="120" w:line="264" w:lineRule="auto"/>
      <w:ind w:left="1077" w:hanging="170"/>
    </w:pPr>
    <w:rPr>
      <w:rFonts w:ascii="Cambria" w:eastAsia="Times New Roman" w:hAnsi="Cambria" w:cs="Times New Roman"/>
      <w:szCs w:val="24"/>
    </w:rPr>
  </w:style>
  <w:style w:type="paragraph" w:customStyle="1" w:styleId="DisseminationLimitingMarker">
    <w:name w:val="Dissemination Limiting Marker"/>
    <w:next w:val="Normal"/>
    <w:uiPriority w:val="27"/>
    <w:rsid w:val="008268EB"/>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sid w:val="008268EB"/>
    <w:rPr>
      <w:b/>
      <w:bCs/>
    </w:rPr>
  </w:style>
  <w:style w:type="paragraph" w:customStyle="1" w:styleId="Footeraddress">
    <w:name w:val="Footer address"/>
    <w:basedOn w:val="Normal"/>
    <w:next w:val="ListBullet2"/>
    <w:semiHidden/>
    <w:qFormat/>
    <w:rsid w:val="008268EB"/>
    <w:pPr>
      <w:tabs>
        <w:tab w:val="center" w:pos="4536"/>
      </w:tabs>
      <w:spacing w:before="120" w:after="120" w:line="240" w:lineRule="auto"/>
      <w:jc w:val="center"/>
    </w:pPr>
    <w:rPr>
      <w:rFonts w:ascii="Cambria" w:eastAsia="Calibri" w:hAnsi="Cambria" w:cs="Times New Roman"/>
      <w:sz w:val="16"/>
    </w:rPr>
  </w:style>
  <w:style w:type="paragraph" w:customStyle="1" w:styleId="BoxText">
    <w:name w:val="Box Text"/>
    <w:basedOn w:val="Normal"/>
    <w:uiPriority w:val="19"/>
    <w:qFormat/>
    <w:rsid w:val="008268EB"/>
    <w:pPr>
      <w:pBdr>
        <w:top w:val="single" w:sz="4" w:space="10" w:color="auto"/>
        <w:left w:val="single" w:sz="4" w:space="10" w:color="auto"/>
        <w:bottom w:val="single" w:sz="4" w:space="10" w:color="auto"/>
        <w:right w:val="single" w:sz="4" w:space="10" w:color="auto"/>
      </w:pBdr>
      <w:spacing w:before="120" w:after="120" w:line="240" w:lineRule="auto"/>
    </w:pPr>
    <w:rPr>
      <w:rFonts w:ascii="Cambria" w:eastAsia="Calibri" w:hAnsi="Cambria" w:cs="Times New Roman"/>
      <w:sz w:val="20"/>
    </w:rPr>
  </w:style>
  <w:style w:type="paragraph" w:customStyle="1" w:styleId="FigureTableNoteSource">
    <w:name w:val="Figure/Table Note/Source"/>
    <w:basedOn w:val="Normal"/>
    <w:next w:val="Normal"/>
    <w:uiPriority w:val="16"/>
    <w:qFormat/>
    <w:rsid w:val="008268EB"/>
    <w:pPr>
      <w:spacing w:before="120" w:after="0" w:line="264" w:lineRule="auto"/>
      <w:contextualSpacing/>
    </w:pPr>
    <w:rPr>
      <w:rFonts w:ascii="Cambria" w:eastAsia="Calibri" w:hAnsi="Cambria" w:cs="Times New Roman"/>
      <w:sz w:val="18"/>
    </w:rPr>
  </w:style>
  <w:style w:type="paragraph" w:customStyle="1" w:styleId="BasicParagraph">
    <w:name w:val="[Basic Paragraph]"/>
    <w:basedOn w:val="Normal"/>
    <w:uiPriority w:val="99"/>
    <w:rsid w:val="008268E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8268EB"/>
    <w:pPr>
      <w:numPr>
        <w:numId w:val="13"/>
      </w:numPr>
    </w:pPr>
  </w:style>
  <w:style w:type="paragraph" w:customStyle="1" w:styleId="Preliminarycontentheading">
    <w:name w:val="Preliminary content heading"/>
    <w:link w:val="PreliminarycontentheadingChar"/>
    <w:uiPriority w:val="28"/>
    <w:qFormat/>
    <w:rsid w:val="008268EB"/>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8268EB"/>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rsid w:val="008268EB"/>
    <w:pPr>
      <w:numPr>
        <w:numId w:val="9"/>
      </w:numPr>
      <w:tabs>
        <w:tab w:val="left" w:pos="227"/>
      </w:tabs>
      <w:ind w:left="0" w:firstLine="0"/>
    </w:pPr>
  </w:style>
  <w:style w:type="paragraph" w:customStyle="1" w:styleId="TableBullet">
    <w:name w:val="Table Bullet"/>
    <w:basedOn w:val="TableText0"/>
    <w:uiPriority w:val="15"/>
    <w:qFormat/>
    <w:rsid w:val="008268EB"/>
    <w:pPr>
      <w:numPr>
        <w:numId w:val="10"/>
      </w:numPr>
      <w:spacing w:before="60" w:after="60"/>
    </w:pPr>
    <w:rPr>
      <w:rFonts w:ascii="Cambria" w:eastAsia="Calibri" w:hAnsi="Cambria"/>
      <w:sz w:val="18"/>
      <w:szCs w:val="22"/>
      <w:lang w:eastAsia="en-US"/>
    </w:rPr>
  </w:style>
  <w:style w:type="paragraph" w:customStyle="1" w:styleId="BoxHeading">
    <w:name w:val="Box Heading"/>
    <w:basedOn w:val="BoxText"/>
    <w:uiPriority w:val="20"/>
    <w:qFormat/>
    <w:rsid w:val="008268EB"/>
    <w:rPr>
      <w:b/>
    </w:rPr>
  </w:style>
  <w:style w:type="paragraph" w:customStyle="1" w:styleId="Securityclassification">
    <w:name w:val="Security classification"/>
    <w:basedOn w:val="Normal"/>
    <w:uiPriority w:val="26"/>
    <w:qFormat/>
    <w:rsid w:val="008268EB"/>
    <w:pPr>
      <w:tabs>
        <w:tab w:val="center" w:pos="4820"/>
      </w:tabs>
      <w:spacing w:before="120" w:after="0" w:line="240" w:lineRule="auto"/>
      <w:jc w:val="center"/>
    </w:pPr>
    <w:rPr>
      <w:rFonts w:ascii="Cambria" w:eastAsia="Calibri" w:hAnsi="Cambria" w:cs="Times New Roman"/>
      <w:b/>
      <w:caps/>
      <w:color w:val="FF0000"/>
      <w:sz w:val="36"/>
      <w:szCs w:val="36"/>
    </w:rPr>
  </w:style>
  <w:style w:type="paragraph" w:customStyle="1" w:styleId="BoxSource">
    <w:name w:val="Box Source"/>
    <w:basedOn w:val="FigureTableNoteSource"/>
    <w:uiPriority w:val="22"/>
    <w:qFormat/>
    <w:rsid w:val="008268EB"/>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8268EB"/>
    <w:pPr>
      <w:pageBreakBefore/>
      <w:spacing w:after="240" w:line="240" w:lineRule="auto"/>
      <w:ind w:left="770" w:hanging="360"/>
    </w:pPr>
    <w:rPr>
      <w:rFonts w:eastAsia="Times New Roman" w:cs="Times New Roman"/>
      <w:b/>
      <w:bCs/>
      <w:sz w:val="56"/>
      <w:szCs w:val="24"/>
    </w:rPr>
  </w:style>
  <w:style w:type="numbering" w:customStyle="1" w:styleId="Appendix">
    <w:name w:val="Appendix"/>
    <w:uiPriority w:val="99"/>
    <w:rsid w:val="008268EB"/>
    <w:pPr>
      <w:numPr>
        <w:numId w:val="47"/>
      </w:numPr>
    </w:pPr>
  </w:style>
  <w:style w:type="numbering" w:customStyle="1" w:styleId="ListBullets">
    <w:name w:val="ListBullets"/>
    <w:uiPriority w:val="99"/>
    <w:rsid w:val="008268EB"/>
    <w:pPr>
      <w:numPr>
        <w:numId w:val="31"/>
      </w:numPr>
    </w:pPr>
  </w:style>
  <w:style w:type="paragraph" w:styleId="ListBullet4">
    <w:name w:val="List Bullet 4"/>
    <w:basedOn w:val="Normal"/>
    <w:uiPriority w:val="99"/>
    <w:unhideWhenUsed/>
    <w:rsid w:val="008268EB"/>
    <w:pPr>
      <w:numPr>
        <w:numId w:val="12"/>
      </w:numPr>
      <w:spacing w:before="120" w:after="0" w:line="240" w:lineRule="auto"/>
      <w:contextualSpacing/>
    </w:pPr>
    <w:rPr>
      <w:rFonts w:ascii="Cambria" w:eastAsia="Calibri" w:hAnsi="Cambria" w:cs="Times New Roman"/>
    </w:rPr>
  </w:style>
  <w:style w:type="numbering" w:customStyle="1" w:styleId="ListNumbers">
    <w:name w:val="ListNumbers"/>
    <w:uiPriority w:val="99"/>
    <w:rsid w:val="008268EB"/>
    <w:pPr>
      <w:numPr>
        <w:numId w:val="29"/>
      </w:numPr>
    </w:pPr>
  </w:style>
  <w:style w:type="paragraph" w:customStyle="1" w:styleId="Picture">
    <w:name w:val="Picture"/>
    <w:qFormat/>
    <w:rsid w:val="008268EB"/>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rsid w:val="008268EB"/>
    <w:pPr>
      <w:pBdr>
        <w:top w:val="single" w:sz="4" w:space="1" w:color="auto"/>
      </w:pBdr>
      <w:spacing w:before="120" w:after="0" w:line="240" w:lineRule="auto"/>
      <w:ind w:left="1701"/>
      <w:jc w:val="right"/>
    </w:pPr>
    <w:rPr>
      <w:rFonts w:ascii="Cambria" w:eastAsia="Calibri" w:hAnsi="Cambria" w:cs="Times New Roman"/>
      <w:sz w:val="28"/>
      <w:szCs w:val="28"/>
    </w:rPr>
  </w:style>
  <w:style w:type="character" w:customStyle="1" w:styleId="DateChar">
    <w:name w:val="Date Char"/>
    <w:basedOn w:val="DefaultParagraphFont"/>
    <w:link w:val="Date"/>
    <w:uiPriority w:val="99"/>
    <w:rsid w:val="008268EB"/>
    <w:rPr>
      <w:rFonts w:ascii="Cambria" w:eastAsia="Calibri" w:hAnsi="Cambria" w:cs="Times New Roman"/>
      <w:sz w:val="28"/>
      <w:szCs w:val="28"/>
    </w:rPr>
  </w:style>
  <w:style w:type="paragraph" w:customStyle="1" w:styleId="AppendixHeading2">
    <w:name w:val="Appendix Heading 2"/>
    <w:basedOn w:val="Heading2"/>
    <w:qFormat/>
    <w:rsid w:val="008268EB"/>
    <w:pPr>
      <w:numPr>
        <w:numId w:val="32"/>
      </w:numPr>
      <w:spacing w:after="0" w:line="240" w:lineRule="auto"/>
    </w:pPr>
    <w:rPr>
      <w:rFonts w:eastAsia="Times New Roman" w:cs="Times New Roman"/>
      <w:b w:val="0"/>
      <w:bCs/>
      <w:szCs w:val="24"/>
    </w:rPr>
  </w:style>
  <w:style w:type="paragraph" w:customStyle="1" w:styleId="AppendixHeading3">
    <w:name w:val="Appendix Heading 3"/>
    <w:qFormat/>
    <w:rsid w:val="008268EB"/>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rsid w:val="008268EB"/>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rsid w:val="008268EB"/>
  </w:style>
  <w:style w:type="character" w:customStyle="1" w:styleId="SOEboldcharacterstyle">
    <w:name w:val="SOE bold character style"/>
    <w:basedOn w:val="DefaultParagraphFont"/>
    <w:uiPriority w:val="1"/>
    <w:qFormat/>
    <w:rsid w:val="008268EB"/>
    <w:rPr>
      <w:b/>
    </w:rPr>
  </w:style>
  <w:style w:type="paragraph" w:customStyle="1" w:styleId="xl63">
    <w:name w:val="xl63"/>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LeftChar">
    <w:name w:val="Table Text Left Char"/>
    <w:basedOn w:val="DefaultParagraphFont"/>
    <w:link w:val="TableTextLeft"/>
    <w:rsid w:val="008268EB"/>
    <w:rPr>
      <w:rFonts w:ascii="Segoe UI" w:eastAsia="Times New Roman" w:hAnsi="Segoe UI" w:cs="Arial"/>
      <w:color w:val="000000"/>
      <w:sz w:val="18"/>
      <w:szCs w:val="20"/>
      <w:lang w:eastAsia="en-AU"/>
    </w:rPr>
  </w:style>
  <w:style w:type="paragraph" w:customStyle="1" w:styleId="TableTextRight">
    <w:name w:val="Table Text Right"/>
    <w:basedOn w:val="TableTextLeft"/>
    <w:qFormat/>
    <w:rsid w:val="008268EB"/>
    <w:pPr>
      <w:jc w:val="right"/>
    </w:pPr>
    <w:rPr>
      <w:rFonts w:asciiTheme="minorHAnsi" w:hAnsiTheme="minorHAnsi"/>
      <w:color w:val="000000" w:themeColor="text1"/>
    </w:rPr>
  </w:style>
  <w:style w:type="character" w:customStyle="1" w:styleId="advancedproofingissue">
    <w:name w:val="advancedproofingissue"/>
    <w:basedOn w:val="DefaultParagraphFont"/>
    <w:rsid w:val="008268EB"/>
  </w:style>
  <w:style w:type="character" w:customStyle="1" w:styleId="scxw162616326">
    <w:name w:val="scxw162616326"/>
    <w:basedOn w:val="DefaultParagraphFont"/>
    <w:rsid w:val="008268EB"/>
  </w:style>
  <w:style w:type="character" w:customStyle="1" w:styleId="FootnoteReference1">
    <w:name w:val="Footnote Reference1"/>
    <w:basedOn w:val="DefaultParagraphFont"/>
    <w:rsid w:val="008268EB"/>
    <w:rPr>
      <w:color w:val="363534"/>
      <w:vertAlign w:val="superscript"/>
    </w:rPr>
  </w:style>
  <w:style w:type="paragraph" w:customStyle="1" w:styleId="xl64">
    <w:name w:val="xl64"/>
    <w:basedOn w:val="Normal"/>
    <w:rsid w:val="008268EB"/>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Heading11">
    <w:name w:val="Heading 11"/>
    <w:basedOn w:val="Normal"/>
    <w:next w:val="BodyText"/>
    <w:qFormat/>
    <w:rsid w:val="008268EB"/>
    <w:pPr>
      <w:keepNext/>
      <w:keepLines/>
      <w:spacing w:before="300" w:after="360" w:line="440" w:lineRule="exact"/>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BodyText"/>
    <w:rsid w:val="008268EB"/>
    <w:pPr>
      <w:keepNext/>
      <w:keepLines/>
      <w:tabs>
        <w:tab w:val="left" w:pos="1418"/>
        <w:tab w:val="left" w:pos="1701"/>
        <w:tab w:val="left" w:pos="1985"/>
      </w:tabs>
      <w:spacing w:before="240" w:after="100" w:line="280" w:lineRule="exact"/>
      <w:outlineLvl w:val="1"/>
    </w:pPr>
    <w:rPr>
      <w:rFonts w:eastAsia="Times New Roman" w:cs="Arial"/>
      <w:b/>
      <w:bCs/>
      <w:iCs/>
      <w:color w:val="00B2A9"/>
      <w:kern w:val="20"/>
      <w:sz w:val="24"/>
      <w:szCs w:val="28"/>
      <w:lang w:eastAsia="en-AU"/>
    </w:rPr>
  </w:style>
  <w:style w:type="paragraph" w:customStyle="1" w:styleId="Heading41">
    <w:name w:val="Heading 41"/>
    <w:basedOn w:val="Normal"/>
    <w:next w:val="BodyText"/>
    <w:qFormat/>
    <w:rsid w:val="008268EB"/>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0"/>
      <w:szCs w:val="20"/>
      <w:lang w:eastAsia="en-AU"/>
    </w:rPr>
  </w:style>
  <w:style w:type="paragraph" w:customStyle="1" w:styleId="Heading71">
    <w:name w:val="Heading 71"/>
    <w:basedOn w:val="Normal"/>
    <w:next w:val="Normal"/>
    <w:semiHidden/>
    <w:rsid w:val="008268EB"/>
    <w:pPr>
      <w:keepNext/>
      <w:keepLines/>
      <w:spacing w:before="2820" w:after="180" w:line="240" w:lineRule="atLeast"/>
      <w:outlineLvl w:val="6"/>
    </w:pPr>
    <w:rPr>
      <w:rFonts w:ascii="Arial" w:eastAsia="MingLiU" w:hAnsi="Arial" w:cs="Times New Roman"/>
      <w:b/>
      <w:iCs/>
      <w:color w:val="FFFFFF"/>
      <w:sz w:val="20"/>
      <w:szCs w:val="20"/>
      <w:lang w:eastAsia="en-AU"/>
    </w:rPr>
  </w:style>
  <w:style w:type="paragraph" w:customStyle="1" w:styleId="AppendixTitle1">
    <w:name w:val="Appendix Title1"/>
    <w:basedOn w:val="Normal"/>
    <w:next w:val="BodyText"/>
    <w:uiPriority w:val="1"/>
    <w:rsid w:val="008268EB"/>
    <w:pPr>
      <w:keepNext/>
      <w:keepLines/>
      <w:pageBreakBefore/>
      <w:framePr w:w="11906" w:h="1701" w:hSpace="11339" w:wrap="around" w:vAnchor="page" w:hAnchor="page" w:x="1" w:y="1"/>
      <w:numPr>
        <w:numId w:val="16"/>
      </w:numPr>
      <w:spacing w:before="1300" w:after="440" w:line="440" w:lineRule="exact"/>
      <w:ind w:right="1134"/>
      <w:outlineLvl w:val="7"/>
    </w:pPr>
    <w:rPr>
      <w:rFonts w:ascii="Arial" w:eastAsia="MingLiU" w:hAnsi="Arial" w:cs="Times New Roman"/>
      <w:b/>
      <w:color w:val="00B2A9"/>
      <w:sz w:val="40"/>
      <w:szCs w:val="20"/>
      <w:lang w:eastAsia="en-AU"/>
    </w:rPr>
  </w:style>
  <w:style w:type="paragraph" w:customStyle="1" w:styleId="AppendixHeading11">
    <w:name w:val="Appendix Heading 11"/>
    <w:basedOn w:val="Normal"/>
    <w:next w:val="BodyText"/>
    <w:uiPriority w:val="1"/>
    <w:rsid w:val="008268EB"/>
    <w:pPr>
      <w:keepNext/>
      <w:keepLines/>
      <w:tabs>
        <w:tab w:val="left" w:pos="1559"/>
        <w:tab w:val="left" w:pos="1843"/>
        <w:tab w:val="left" w:pos="2126"/>
        <w:tab w:val="left" w:pos="2410"/>
      </w:tabs>
      <w:spacing w:before="240" w:after="100" w:line="280" w:lineRule="exact"/>
      <w:outlineLvl w:val="8"/>
    </w:pPr>
    <w:rPr>
      <w:rFonts w:eastAsia="Times New Roman" w:cs="Arial"/>
      <w:b/>
      <w:color w:val="00B2A9"/>
      <w:sz w:val="24"/>
      <w:szCs w:val="20"/>
      <w:lang w:eastAsia="en-AU"/>
    </w:rPr>
  </w:style>
  <w:style w:type="paragraph" w:customStyle="1" w:styleId="xDisclaimertext3">
    <w:name w:val="xDisclaimer text 3"/>
    <w:basedOn w:val="xDisclaimerText"/>
    <w:rsid w:val="008268EB"/>
    <w:pPr>
      <w:spacing w:before="60" w:after="60"/>
    </w:pPr>
  </w:style>
  <w:style w:type="character" w:styleId="PageNumber">
    <w:name w:val="page number"/>
    <w:basedOn w:val="DefaultParagraphFont"/>
    <w:semiHidden/>
    <w:rsid w:val="008268EB"/>
    <w:rPr>
      <w:rFonts w:ascii="Arial" w:hAnsi="Arial"/>
      <w:b/>
      <w:color w:val="auto"/>
      <w:sz w:val="16"/>
    </w:rPr>
  </w:style>
  <w:style w:type="paragraph" w:customStyle="1" w:styleId="FooterOdd">
    <w:name w:val="Footer Odd"/>
    <w:next w:val="Footer"/>
    <w:rsid w:val="008268EB"/>
    <w:pPr>
      <w:spacing w:after="0" w:line="200" w:lineRule="atLeast"/>
      <w:jc w:val="right"/>
    </w:pPr>
    <w:rPr>
      <w:rFonts w:eastAsia="Times New Roman" w:cs="Arial"/>
      <w:color w:val="363534"/>
      <w:spacing w:val="2"/>
      <w:sz w:val="16"/>
      <w:szCs w:val="20"/>
      <w:lang w:eastAsia="en-AU"/>
    </w:rPr>
  </w:style>
  <w:style w:type="paragraph" w:customStyle="1" w:styleId="FooterEven">
    <w:name w:val="Footer Even"/>
    <w:next w:val="Footer"/>
    <w:rsid w:val="008268EB"/>
    <w:pPr>
      <w:spacing w:after="0" w:line="200" w:lineRule="atLeast"/>
    </w:pPr>
    <w:rPr>
      <w:rFonts w:eastAsia="Times New Roman" w:cs="Arial"/>
      <w:color w:val="363534"/>
      <w:sz w:val="16"/>
      <w:szCs w:val="20"/>
      <w:lang w:eastAsia="en-AU"/>
    </w:rPr>
  </w:style>
  <w:style w:type="paragraph" w:customStyle="1" w:styleId="FooterOddPageNumber">
    <w:name w:val="Footer Odd Page Number"/>
    <w:basedOn w:val="FooterOdd"/>
    <w:rsid w:val="008268EB"/>
    <w:pPr>
      <w:ind w:right="28"/>
    </w:pPr>
    <w:rPr>
      <w:b/>
      <w:color w:val="00B2A9"/>
    </w:rPr>
  </w:style>
  <w:style w:type="paragraph" w:customStyle="1" w:styleId="FootnoteSeparator">
    <w:name w:val="Footnote Separator"/>
    <w:basedOn w:val="Normal"/>
    <w:unhideWhenUsed/>
    <w:rsid w:val="008268EB"/>
    <w:pPr>
      <w:pBdr>
        <w:top w:val="dotted" w:sz="8" w:space="0" w:color="363534"/>
      </w:pBdr>
      <w:spacing w:before="120" w:after="0" w:line="120" w:lineRule="exact"/>
    </w:pPr>
    <w:rPr>
      <w:rFonts w:eastAsia="Times New Roman" w:cs="Arial"/>
      <w:color w:val="363534"/>
      <w:sz w:val="16"/>
      <w:szCs w:val="16"/>
      <w:lang w:eastAsia="en-AU"/>
    </w:rPr>
  </w:style>
  <w:style w:type="paragraph" w:customStyle="1" w:styleId="Emailaddress">
    <w:name w:val="Email address"/>
    <w:basedOn w:val="Normal"/>
    <w:semiHidden/>
    <w:rsid w:val="008268EB"/>
    <w:pPr>
      <w:spacing w:after="0" w:line="240" w:lineRule="atLeast"/>
    </w:pPr>
    <w:rPr>
      <w:rFonts w:eastAsia="Times New Roman" w:cs="Arial"/>
      <w:color w:val="363534"/>
      <w:sz w:val="16"/>
      <w:szCs w:val="16"/>
      <w:lang w:eastAsia="en-AU"/>
    </w:rPr>
  </w:style>
  <w:style w:type="character" w:customStyle="1" w:styleId="Italics">
    <w:name w:val="Italics"/>
    <w:qFormat/>
    <w:rsid w:val="008268EB"/>
    <w:rPr>
      <w:i/>
    </w:rPr>
  </w:style>
  <w:style w:type="paragraph" w:styleId="ListContinue">
    <w:name w:val="List Continue"/>
    <w:basedOn w:val="Normal"/>
    <w:semiHidden/>
    <w:qFormat/>
    <w:rsid w:val="008268EB"/>
    <w:pPr>
      <w:spacing w:before="220" w:after="220" w:line="240" w:lineRule="atLeast"/>
      <w:ind w:left="340"/>
    </w:pPr>
    <w:rPr>
      <w:rFonts w:eastAsia="Times New Roman" w:cs="Arial"/>
      <w:color w:val="363534"/>
      <w:sz w:val="20"/>
      <w:szCs w:val="20"/>
      <w:lang w:eastAsia="en-AU"/>
    </w:rPr>
  </w:style>
  <w:style w:type="paragraph" w:styleId="ListContinue2">
    <w:name w:val="List Continue 2"/>
    <w:basedOn w:val="Normal"/>
    <w:semiHidden/>
    <w:qFormat/>
    <w:rsid w:val="008268EB"/>
    <w:pPr>
      <w:spacing w:before="220" w:after="220" w:line="240" w:lineRule="atLeast"/>
      <w:ind w:left="680"/>
    </w:pPr>
    <w:rPr>
      <w:rFonts w:eastAsia="Times New Roman" w:cs="Arial"/>
      <w:color w:val="363534"/>
      <w:sz w:val="20"/>
      <w:szCs w:val="20"/>
      <w:lang w:eastAsia="en-AU"/>
    </w:rPr>
  </w:style>
  <w:style w:type="numbering" w:styleId="1ai">
    <w:name w:val="Outline List 1"/>
    <w:basedOn w:val="NoList"/>
    <w:rsid w:val="008268EB"/>
    <w:pPr>
      <w:numPr>
        <w:numId w:val="14"/>
      </w:numPr>
    </w:pPr>
  </w:style>
  <w:style w:type="paragraph" w:customStyle="1" w:styleId="TableTextBullet2">
    <w:name w:val="Table Text Bullet 2"/>
    <w:basedOn w:val="TableTextBullet"/>
    <w:qFormat/>
    <w:rsid w:val="008268EB"/>
    <w:pPr>
      <w:numPr>
        <w:ilvl w:val="1"/>
      </w:numPr>
    </w:pPr>
    <w:rPr>
      <w:bCs/>
    </w:rPr>
  </w:style>
  <w:style w:type="paragraph" w:customStyle="1" w:styleId="TableTextBullet3">
    <w:name w:val="Table Text Bullet 3"/>
    <w:basedOn w:val="TableTextBullet2"/>
    <w:qFormat/>
    <w:rsid w:val="008268EB"/>
    <w:pPr>
      <w:numPr>
        <w:ilvl w:val="2"/>
      </w:numPr>
    </w:pPr>
    <w:rPr>
      <w:bCs w:val="0"/>
    </w:rPr>
  </w:style>
  <w:style w:type="paragraph" w:customStyle="1" w:styleId="xDoublePic">
    <w:name w:val="xDoublePic"/>
    <w:basedOn w:val="xInlineShape"/>
    <w:semiHidden/>
    <w:rsid w:val="008268EB"/>
    <w:pPr>
      <w:spacing w:before="0" w:after="0"/>
    </w:pPr>
  </w:style>
  <w:style w:type="paragraph" w:customStyle="1" w:styleId="Footnotes">
    <w:name w:val="Footnotes"/>
    <w:basedOn w:val="Normal"/>
    <w:rsid w:val="008268EB"/>
    <w:pPr>
      <w:keepLines/>
      <w:numPr>
        <w:numId w:val="18"/>
      </w:numPr>
      <w:spacing w:before="60" w:after="100" w:afterAutospacing="1" w:line="180" w:lineRule="exact"/>
    </w:pPr>
    <w:rPr>
      <w:rFonts w:eastAsia="Times New Roman" w:cs="Arial"/>
      <w:color w:val="363534"/>
      <w:sz w:val="14"/>
      <w:szCs w:val="20"/>
      <w:lang w:eastAsia="en-AU"/>
    </w:rPr>
  </w:style>
  <w:style w:type="character" w:customStyle="1" w:styleId="Superscript">
    <w:name w:val="Superscript"/>
    <w:semiHidden/>
    <w:rsid w:val="008268EB"/>
    <w:rPr>
      <w:vertAlign w:val="superscript"/>
    </w:rPr>
  </w:style>
  <w:style w:type="table" w:styleId="TableColumns3">
    <w:name w:val="Table Columns 3"/>
    <w:basedOn w:val="TableNormal"/>
    <w:rsid w:val="008268EB"/>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8268EB"/>
    <w:pPr>
      <w:numPr>
        <w:numId w:val="20"/>
      </w:numPr>
    </w:pPr>
    <w:rPr>
      <w:rFonts w:asciiTheme="minorHAnsi" w:hAnsiTheme="minorHAnsi"/>
      <w:color w:val="363534"/>
    </w:rPr>
  </w:style>
  <w:style w:type="paragraph" w:customStyle="1" w:styleId="TableTextNumbered">
    <w:name w:val="Table Text Numbered"/>
    <w:basedOn w:val="TableTextLeft"/>
    <w:qFormat/>
    <w:rsid w:val="008268EB"/>
    <w:pPr>
      <w:numPr>
        <w:numId w:val="15"/>
      </w:numPr>
    </w:pPr>
    <w:rPr>
      <w:rFonts w:asciiTheme="minorHAnsi" w:hAnsiTheme="minorHAnsi"/>
      <w:color w:val="363534"/>
    </w:rPr>
  </w:style>
  <w:style w:type="paragraph" w:customStyle="1" w:styleId="TableTextNumbered2">
    <w:name w:val="Table Text Numbered 2"/>
    <w:basedOn w:val="TableTextNumbered"/>
    <w:qFormat/>
    <w:rsid w:val="008268EB"/>
    <w:pPr>
      <w:numPr>
        <w:ilvl w:val="1"/>
      </w:numPr>
    </w:pPr>
  </w:style>
  <w:style w:type="paragraph" w:customStyle="1" w:styleId="TableTextNumbered3">
    <w:name w:val="Table Text Numbered 3"/>
    <w:basedOn w:val="TableTextNumbered2"/>
    <w:qFormat/>
    <w:rsid w:val="008268EB"/>
    <w:pPr>
      <w:numPr>
        <w:ilvl w:val="2"/>
      </w:numPr>
    </w:pPr>
  </w:style>
  <w:style w:type="paragraph" w:customStyle="1" w:styleId="TableTextLeftBold">
    <w:name w:val="Table Text Left Bold"/>
    <w:basedOn w:val="TableTextLeft"/>
    <w:qFormat/>
    <w:rsid w:val="008268EB"/>
    <w:rPr>
      <w:rFonts w:asciiTheme="minorHAnsi" w:hAnsiTheme="minorHAnsi"/>
      <w:b/>
      <w:color w:val="363534"/>
    </w:rPr>
  </w:style>
  <w:style w:type="paragraph" w:customStyle="1" w:styleId="BoldHeading">
    <w:name w:val="Bold Heading"/>
    <w:basedOn w:val="Normal"/>
    <w:next w:val="BodyText"/>
    <w:qFormat/>
    <w:rsid w:val="008268EB"/>
    <w:pPr>
      <w:spacing w:before="280" w:after="240" w:line="240" w:lineRule="atLeast"/>
    </w:pPr>
    <w:rPr>
      <w:rFonts w:eastAsia="Times New Roman" w:cs="Arial"/>
      <w:b/>
      <w:color w:val="363534"/>
      <w:sz w:val="20"/>
      <w:szCs w:val="20"/>
      <w:lang w:eastAsia="en-AU"/>
    </w:rPr>
  </w:style>
  <w:style w:type="paragraph" w:customStyle="1" w:styleId="xInlineShape">
    <w:name w:val="xInlineShape"/>
    <w:basedOn w:val="Normal"/>
    <w:next w:val="BodyText"/>
    <w:uiPriority w:val="3"/>
    <w:semiHidden/>
    <w:rsid w:val="008268EB"/>
    <w:pPr>
      <w:keepNext/>
      <w:spacing w:before="120" w:after="20" w:line="240" w:lineRule="auto"/>
    </w:pPr>
    <w:rPr>
      <w:rFonts w:eastAsia="Times New Roman" w:cs="Arial"/>
      <w:color w:val="363534"/>
      <w:sz w:val="20"/>
      <w:szCs w:val="20"/>
      <w:lang w:eastAsia="en-AU"/>
    </w:rPr>
  </w:style>
  <w:style w:type="paragraph" w:customStyle="1" w:styleId="xDisclaimerHeading">
    <w:name w:val="xDisclaimer Heading"/>
    <w:basedOn w:val="Normal"/>
    <w:rsid w:val="008268EB"/>
    <w:pPr>
      <w:spacing w:before="170" w:after="20" w:line="170" w:lineRule="atLeast"/>
    </w:pPr>
    <w:rPr>
      <w:rFonts w:eastAsia="Times New Roman" w:cs="Arial"/>
      <w:b/>
      <w:color w:val="363534"/>
      <w:sz w:val="16"/>
      <w:szCs w:val="20"/>
      <w:lang w:eastAsia="en-AU"/>
    </w:rPr>
  </w:style>
  <w:style w:type="table" w:customStyle="1" w:styleId="TableAsPlaceholder">
    <w:name w:val="Table As Placeholder"/>
    <w:basedOn w:val="TableNormal"/>
    <w:uiPriority w:val="99"/>
    <w:qFormat/>
    <w:rsid w:val="008268EB"/>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TOC11">
    <w:name w:val="TOC 11"/>
    <w:basedOn w:val="Normal"/>
    <w:next w:val="Normal"/>
    <w:uiPriority w:val="39"/>
    <w:rsid w:val="008268EB"/>
    <w:pPr>
      <w:tabs>
        <w:tab w:val="right" w:leader="dot" w:pos="9582"/>
      </w:tabs>
      <w:spacing w:before="240" w:after="60" w:line="240" w:lineRule="atLeast"/>
      <w:ind w:right="851"/>
    </w:pPr>
    <w:rPr>
      <w:rFonts w:eastAsia="Times New Roman" w:cs="Arial"/>
      <w:b/>
      <w:noProof/>
      <w:color w:val="00B2A9"/>
      <w:sz w:val="24"/>
      <w:szCs w:val="24"/>
      <w:lang w:eastAsia="en-AU"/>
    </w:rPr>
  </w:style>
  <w:style w:type="paragraph" w:customStyle="1" w:styleId="TOCHeading1">
    <w:name w:val="TOC Heading1"/>
    <w:basedOn w:val="Normal"/>
    <w:next w:val="TOCHeading"/>
    <w:uiPriority w:val="99"/>
    <w:rsid w:val="008268EB"/>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rFonts w:eastAsia="Times New Roman" w:cs="Arial"/>
      <w:b/>
      <w:color w:val="00B2A9"/>
      <w:sz w:val="40"/>
      <w:szCs w:val="40"/>
      <w:lang w:eastAsia="en-AU"/>
    </w:rPr>
  </w:style>
  <w:style w:type="paragraph" w:customStyle="1" w:styleId="TOC31">
    <w:name w:val="TOC 31"/>
    <w:basedOn w:val="Normal"/>
    <w:next w:val="Normal"/>
    <w:uiPriority w:val="39"/>
    <w:rsid w:val="008268EB"/>
    <w:pPr>
      <w:tabs>
        <w:tab w:val="right" w:leader="dot" w:pos="9582"/>
      </w:tabs>
      <w:spacing w:before="60" w:after="60" w:line="240" w:lineRule="atLeast"/>
      <w:ind w:left="142" w:right="851"/>
    </w:pPr>
    <w:rPr>
      <w:rFonts w:eastAsia="PMingLiU"/>
      <w:b/>
      <w:noProof/>
      <w:color w:val="4F4E4E"/>
      <w:sz w:val="20"/>
      <w:szCs w:val="20"/>
      <w:lang w:eastAsia="en-AU"/>
    </w:rPr>
  </w:style>
  <w:style w:type="paragraph" w:styleId="TOC4">
    <w:name w:val="toc 4"/>
    <w:basedOn w:val="Normal"/>
    <w:uiPriority w:val="39"/>
    <w:rsid w:val="008268EB"/>
    <w:pPr>
      <w:tabs>
        <w:tab w:val="right" w:leader="dot" w:pos="9582"/>
      </w:tabs>
      <w:spacing w:before="60" w:after="60" w:line="240" w:lineRule="atLeast"/>
      <w:ind w:left="567"/>
    </w:pPr>
    <w:rPr>
      <w:rFonts w:eastAsia="Times New Roman" w:cs="Arial"/>
      <w:noProof/>
      <w:color w:val="4F4E4E"/>
      <w:sz w:val="20"/>
      <w:szCs w:val="20"/>
      <w:lang w:eastAsia="en-AU"/>
    </w:rPr>
  </w:style>
  <w:style w:type="paragraph" w:customStyle="1" w:styleId="TOFHeading">
    <w:name w:val="TOF Heading"/>
    <w:basedOn w:val="Normal"/>
    <w:uiPriority w:val="99"/>
    <w:rsid w:val="008268EB"/>
    <w:pPr>
      <w:keepNext/>
      <w:tabs>
        <w:tab w:val="left" w:pos="2268"/>
      </w:tabs>
      <w:spacing w:before="240" w:after="60" w:line="240" w:lineRule="atLeast"/>
    </w:pPr>
    <w:rPr>
      <w:rFonts w:eastAsia="Times New Roman" w:cs="Arial"/>
      <w:b/>
      <w:color w:val="00B2A9"/>
      <w:sz w:val="24"/>
      <w:szCs w:val="32"/>
      <w:lang w:eastAsia="en-AU"/>
    </w:rPr>
  </w:style>
  <w:style w:type="paragraph" w:customStyle="1" w:styleId="BodyText12ptBefore">
    <w:name w:val="Body Text 12pt Before"/>
    <w:basedOn w:val="BodyText"/>
    <w:next w:val="BodyText"/>
    <w:qFormat/>
    <w:rsid w:val="008268EB"/>
    <w:pPr>
      <w:spacing w:before="240" w:line="240" w:lineRule="atLeast"/>
    </w:pPr>
    <w:rPr>
      <w:rFonts w:asciiTheme="minorHAnsi" w:eastAsia="Times New Roman" w:hAnsiTheme="minorHAnsi" w:cs="Times New Roman"/>
      <w:color w:val="363534"/>
      <w:sz w:val="20"/>
      <w:szCs w:val="20"/>
    </w:rPr>
  </w:style>
  <w:style w:type="paragraph" w:customStyle="1" w:styleId="TableofContents2">
    <w:name w:val="TableofContents2"/>
    <w:basedOn w:val="Normal"/>
    <w:semiHidden/>
    <w:rsid w:val="008268EB"/>
    <w:pPr>
      <w:keepNext/>
      <w:spacing w:after="120" w:line="230" w:lineRule="auto"/>
    </w:pPr>
    <w:rPr>
      <w:rFonts w:eastAsia="Times New Roman" w:cs="Arial"/>
      <w:color w:val="363534"/>
      <w:spacing w:val="-6"/>
      <w:sz w:val="40"/>
      <w:szCs w:val="28"/>
      <w:lang w:eastAsia="en-AU"/>
    </w:rPr>
  </w:style>
  <w:style w:type="paragraph" w:customStyle="1" w:styleId="TOC51">
    <w:name w:val="TOC 51"/>
    <w:basedOn w:val="Normal"/>
    <w:next w:val="Normal"/>
    <w:autoRedefine/>
    <w:uiPriority w:val="39"/>
    <w:rsid w:val="008268EB"/>
    <w:pPr>
      <w:tabs>
        <w:tab w:val="right" w:pos="9582"/>
      </w:tabs>
      <w:spacing w:before="240" w:after="60" w:line="240" w:lineRule="atLeast"/>
      <w:ind w:right="851"/>
    </w:pPr>
    <w:rPr>
      <w:rFonts w:eastAsia="Times New Roman" w:cs="Arial"/>
      <w:b/>
      <w:color w:val="00B2A9"/>
      <w:sz w:val="24"/>
      <w:szCs w:val="20"/>
      <w:lang w:eastAsia="en-AU"/>
    </w:rPr>
  </w:style>
  <w:style w:type="paragraph" w:styleId="TOC6">
    <w:name w:val="toc 6"/>
    <w:basedOn w:val="Normal"/>
    <w:next w:val="Normal"/>
    <w:autoRedefine/>
    <w:uiPriority w:val="39"/>
    <w:rsid w:val="008268EB"/>
    <w:pPr>
      <w:spacing w:after="100" w:line="240" w:lineRule="atLeast"/>
      <w:ind w:left="1000"/>
    </w:pPr>
    <w:rPr>
      <w:rFonts w:eastAsia="Times New Roman" w:cs="Arial"/>
      <w:color w:val="363534"/>
      <w:sz w:val="20"/>
      <w:szCs w:val="20"/>
      <w:lang w:eastAsia="en-AU"/>
    </w:rPr>
  </w:style>
  <w:style w:type="paragraph" w:styleId="TOC7">
    <w:name w:val="toc 7"/>
    <w:basedOn w:val="Normal"/>
    <w:next w:val="Normal"/>
    <w:autoRedefine/>
    <w:uiPriority w:val="39"/>
    <w:rsid w:val="008268EB"/>
    <w:pPr>
      <w:spacing w:after="100" w:line="240" w:lineRule="atLeast"/>
      <w:ind w:left="1200"/>
    </w:pPr>
    <w:rPr>
      <w:rFonts w:eastAsia="Times New Roman" w:cs="Arial"/>
      <w:color w:val="363534"/>
      <w:sz w:val="20"/>
      <w:szCs w:val="20"/>
      <w:lang w:eastAsia="en-AU"/>
    </w:rPr>
  </w:style>
  <w:style w:type="paragraph" w:customStyle="1" w:styleId="TOC81">
    <w:name w:val="TOC 81"/>
    <w:basedOn w:val="Normal"/>
    <w:next w:val="Normal"/>
    <w:autoRedefine/>
    <w:uiPriority w:val="39"/>
    <w:rsid w:val="008268EB"/>
    <w:pPr>
      <w:tabs>
        <w:tab w:val="right" w:leader="dot" w:pos="9582"/>
      </w:tabs>
      <w:spacing w:before="240" w:after="60" w:line="240" w:lineRule="atLeast"/>
      <w:ind w:right="851"/>
      <w:contextualSpacing/>
    </w:pPr>
    <w:rPr>
      <w:rFonts w:eastAsia="Times New Roman" w:cs="Arial"/>
      <w:b/>
      <w:color w:val="00B2A9"/>
      <w:sz w:val="24"/>
      <w:szCs w:val="20"/>
      <w:lang w:eastAsia="en-AU"/>
    </w:rPr>
  </w:style>
  <w:style w:type="character" w:customStyle="1" w:styleId="Bold">
    <w:name w:val="Bold"/>
    <w:rsid w:val="008268EB"/>
    <w:rPr>
      <w:b/>
    </w:rPr>
  </w:style>
  <w:style w:type="paragraph" w:customStyle="1" w:styleId="xContactDetails">
    <w:name w:val="xContact Details"/>
    <w:basedOn w:val="TableTextLeft"/>
    <w:uiPriority w:val="3"/>
    <w:semiHidden/>
    <w:rsid w:val="008268EB"/>
    <w:pPr>
      <w:spacing w:before="40"/>
      <w:contextualSpacing/>
    </w:pPr>
    <w:rPr>
      <w:rFonts w:asciiTheme="minorHAnsi" w:hAnsiTheme="minorHAnsi"/>
      <w:color w:val="363534"/>
      <w:sz w:val="16"/>
    </w:rPr>
  </w:style>
  <w:style w:type="paragraph" w:customStyle="1" w:styleId="xEntityDetails">
    <w:name w:val="xEntity Details"/>
    <w:basedOn w:val="xContactDetails"/>
    <w:uiPriority w:val="3"/>
    <w:semiHidden/>
    <w:rsid w:val="008268EB"/>
    <w:pPr>
      <w:framePr w:wrap="around" w:hAnchor="text"/>
    </w:pPr>
  </w:style>
  <w:style w:type="paragraph" w:customStyle="1" w:styleId="xStatus">
    <w:name w:val="xStatus"/>
    <w:basedOn w:val="Normal"/>
    <w:uiPriority w:val="3"/>
    <w:semiHidden/>
    <w:rsid w:val="008268EB"/>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character" w:styleId="IntenseEmphasis">
    <w:name w:val="Intense Emphasis"/>
    <w:rsid w:val="008268EB"/>
    <w:rPr>
      <w:b/>
      <w:bCs/>
      <w:i/>
      <w:iCs/>
      <w:color w:val="auto"/>
    </w:rPr>
  </w:style>
  <w:style w:type="paragraph" w:customStyle="1" w:styleId="BlockText1">
    <w:name w:val="Block Text1"/>
    <w:basedOn w:val="Normal"/>
    <w:next w:val="BlockText"/>
    <w:semiHidden/>
    <w:unhideWhenUsed/>
    <w:rsid w:val="008268EB"/>
    <w:pPr>
      <w:pBdr>
        <w:top w:val="single" w:sz="2" w:space="10" w:color="00B2A9" w:frame="1"/>
        <w:left w:val="single" w:sz="2" w:space="10" w:color="00B2A9" w:frame="1"/>
        <w:bottom w:val="single" w:sz="2" w:space="10" w:color="00B2A9" w:frame="1"/>
        <w:right w:val="single" w:sz="2" w:space="10" w:color="00B2A9" w:frame="1"/>
      </w:pBdr>
      <w:spacing w:after="0" w:line="240" w:lineRule="atLeast"/>
      <w:ind w:left="1152" w:right="1152"/>
    </w:pPr>
    <w:rPr>
      <w:rFonts w:eastAsia="PMingLiU"/>
      <w:i/>
      <w:iCs/>
      <w:color w:val="00B2A9"/>
      <w:sz w:val="20"/>
      <w:szCs w:val="20"/>
      <w:lang w:eastAsia="en-AU"/>
    </w:rPr>
  </w:style>
  <w:style w:type="paragraph" w:customStyle="1" w:styleId="IntenseQuote1">
    <w:name w:val="Intense Quote1"/>
    <w:basedOn w:val="Normal"/>
    <w:next w:val="Normal"/>
    <w:semiHidden/>
    <w:rsid w:val="008268EB"/>
    <w:pPr>
      <w:pBdr>
        <w:bottom w:val="single" w:sz="4" w:space="4" w:color="00B2A9"/>
      </w:pBdr>
      <w:spacing w:before="200" w:after="280" w:line="240" w:lineRule="atLeast"/>
      <w:ind w:left="936" w:right="936"/>
    </w:pPr>
    <w:rPr>
      <w:rFonts w:eastAsia="Times New Roman" w:cs="Arial"/>
      <w:b/>
      <w:bCs/>
      <w:i/>
      <w:iCs/>
      <w:color w:val="E5F7F6"/>
      <w:sz w:val="20"/>
      <w:szCs w:val="20"/>
      <w:lang w:eastAsia="en-AU"/>
    </w:rPr>
  </w:style>
  <w:style w:type="character" w:customStyle="1" w:styleId="IntenseQuoteChar">
    <w:name w:val="Intense Quote Char"/>
    <w:basedOn w:val="DefaultParagraphFont"/>
    <w:link w:val="IntenseQuote"/>
    <w:rsid w:val="008268EB"/>
    <w:rPr>
      <w:rFonts w:ascii="Arial" w:hAnsi="Arial" w:cs="Times New Roman"/>
      <w:b/>
      <w:bCs/>
      <w:i/>
      <w:iCs/>
      <w:color w:val="E5F7F6"/>
      <w:sz w:val="20"/>
      <w:szCs w:val="20"/>
    </w:rPr>
  </w:style>
  <w:style w:type="paragraph" w:customStyle="1" w:styleId="PullOutBoxBodyText">
    <w:name w:val="Pull Out Box Body Text"/>
    <w:basedOn w:val="Normal"/>
    <w:qFormat/>
    <w:rsid w:val="008268EB"/>
    <w:pPr>
      <w:spacing w:before="120" w:after="120" w:line="240" w:lineRule="atLeast"/>
      <w:ind w:left="142" w:right="142"/>
    </w:pPr>
    <w:rPr>
      <w:rFonts w:eastAsia="Times New Roman" w:cs="Arial"/>
      <w:color w:val="363534"/>
      <w:sz w:val="20"/>
      <w:szCs w:val="20"/>
      <w:lang w:eastAsia="en-AU"/>
    </w:rPr>
  </w:style>
  <w:style w:type="paragraph" w:customStyle="1" w:styleId="PullOutBoxHeading">
    <w:name w:val="Pull Out Box Heading"/>
    <w:basedOn w:val="PullOutBoxBodyText"/>
    <w:next w:val="PullOutBoxBodyText"/>
    <w:qFormat/>
    <w:rsid w:val="008268EB"/>
    <w:pPr>
      <w:keepNext/>
      <w:keepLines/>
    </w:pPr>
    <w:rPr>
      <w:b/>
      <w:szCs w:val="24"/>
    </w:rPr>
  </w:style>
  <w:style w:type="paragraph" w:customStyle="1" w:styleId="PullOutBoxBullet">
    <w:name w:val="Pull Out Box Bullet"/>
    <w:basedOn w:val="PullOutBoxBodyText"/>
    <w:qFormat/>
    <w:rsid w:val="008268EB"/>
    <w:pPr>
      <w:numPr>
        <w:numId w:val="21"/>
      </w:numPr>
    </w:pPr>
  </w:style>
  <w:style w:type="paragraph" w:customStyle="1" w:styleId="PullOutBoxBullet2">
    <w:name w:val="Pull Out Box Bullet 2"/>
    <w:basedOn w:val="PullOutBoxBodyText"/>
    <w:qFormat/>
    <w:rsid w:val="008268EB"/>
    <w:pPr>
      <w:numPr>
        <w:ilvl w:val="1"/>
        <w:numId w:val="21"/>
      </w:numPr>
    </w:pPr>
  </w:style>
  <w:style w:type="paragraph" w:customStyle="1" w:styleId="PullOutBoxBullet3">
    <w:name w:val="Pull Out Box Bullet 3"/>
    <w:basedOn w:val="PullOutBoxBodyText"/>
    <w:qFormat/>
    <w:rsid w:val="008268EB"/>
    <w:pPr>
      <w:numPr>
        <w:ilvl w:val="2"/>
        <w:numId w:val="21"/>
      </w:numPr>
    </w:pPr>
  </w:style>
  <w:style w:type="paragraph" w:customStyle="1" w:styleId="xBackPageWebAddress">
    <w:name w:val="xBack Page Web Address"/>
    <w:basedOn w:val="Normal"/>
    <w:semiHidden/>
    <w:rsid w:val="008268EB"/>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8268EB"/>
    <w:pPr>
      <w:spacing w:after="0" w:line="240" w:lineRule="atLeast"/>
    </w:pPr>
    <w:rPr>
      <w:rFonts w:eastAsia="Times New Roman" w:cs="Arial"/>
      <w:color w:val="FFFFFF"/>
      <w:sz w:val="20"/>
      <w:szCs w:val="20"/>
      <w:lang w:eastAsia="en-AU"/>
    </w:rPr>
  </w:style>
  <w:style w:type="paragraph" w:customStyle="1" w:styleId="Source">
    <w:name w:val="Source"/>
    <w:basedOn w:val="Normal"/>
    <w:next w:val="BodyText"/>
    <w:rsid w:val="008268EB"/>
    <w:pPr>
      <w:spacing w:before="60" w:after="60" w:line="180" w:lineRule="atLeast"/>
    </w:pPr>
    <w:rPr>
      <w:rFonts w:eastAsia="Times New Roman" w:cs="Arial"/>
      <w:b/>
      <w:i/>
      <w:color w:val="363534"/>
      <w:sz w:val="14"/>
      <w:szCs w:val="20"/>
      <w:lang w:eastAsia="en-AU"/>
    </w:rPr>
  </w:style>
  <w:style w:type="paragraph" w:customStyle="1" w:styleId="xDisclaimerText">
    <w:name w:val="xDisclaimer Text"/>
    <w:basedOn w:val="xContactDetails"/>
    <w:rsid w:val="008268EB"/>
    <w:pPr>
      <w:spacing w:before="0" w:after="0" w:line="175" w:lineRule="atLeast"/>
      <w:ind w:left="0" w:right="0"/>
      <w:contextualSpacing w:val="0"/>
    </w:pPr>
  </w:style>
  <w:style w:type="paragraph" w:customStyle="1" w:styleId="IntroFeatureText">
    <w:name w:val="Intro/Feature Text"/>
    <w:basedOn w:val="Normal"/>
    <w:next w:val="BodyText"/>
    <w:qFormat/>
    <w:rsid w:val="008268EB"/>
    <w:pPr>
      <w:spacing w:before="60" w:after="180" w:line="360" w:lineRule="exact"/>
    </w:pPr>
    <w:rPr>
      <w:rFonts w:eastAsia="Times New Roman" w:cs="Arial"/>
      <w:color w:val="00B2A9"/>
      <w:spacing w:val="-2"/>
      <w:sz w:val="32"/>
      <w:szCs w:val="20"/>
      <w:lang w:eastAsia="en-AU"/>
    </w:rPr>
  </w:style>
  <w:style w:type="character" w:customStyle="1" w:styleId="BoldAndItalics">
    <w:name w:val="Bold And Italics"/>
    <w:semiHidden/>
    <w:rsid w:val="008268EB"/>
    <w:rPr>
      <w:b/>
      <w:i/>
    </w:rPr>
  </w:style>
  <w:style w:type="paragraph" w:customStyle="1" w:styleId="CaptionDescriptive">
    <w:name w:val="Caption Descriptive"/>
    <w:basedOn w:val="BodyText"/>
    <w:next w:val="BodyText"/>
    <w:rsid w:val="008268EB"/>
    <w:pPr>
      <w:spacing w:before="60" w:after="60"/>
      <w:ind w:right="227"/>
    </w:pPr>
    <w:rPr>
      <w:rFonts w:asciiTheme="minorHAnsi" w:eastAsia="Times New Roman" w:hAnsiTheme="minorHAnsi" w:cs="Times New Roman"/>
      <w:i/>
      <w:color w:val="363534"/>
      <w:sz w:val="18"/>
      <w:szCs w:val="14"/>
    </w:rPr>
  </w:style>
  <w:style w:type="table" w:customStyle="1" w:styleId="PullOutBoxTable">
    <w:name w:val="Pull Out Box Table"/>
    <w:basedOn w:val="TableNormal"/>
    <w:uiPriority w:val="99"/>
    <w:rsid w:val="008268EB"/>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customStyle="1" w:styleId="NormalWeb1">
    <w:name w:val="Normal (Web)1"/>
    <w:basedOn w:val="Normal"/>
    <w:next w:val="NormalWeb"/>
    <w:uiPriority w:val="99"/>
    <w:unhideWhenUsed/>
    <w:rsid w:val="008268EB"/>
    <w:pPr>
      <w:spacing w:after="0" w:line="240" w:lineRule="atLeast"/>
    </w:pPr>
    <w:rPr>
      <w:rFonts w:eastAsia="PMingLiU" w:cs="Times New Roman"/>
      <w:color w:val="363534"/>
      <w:sz w:val="20"/>
      <w:szCs w:val="24"/>
      <w:lang w:eastAsia="en-AU"/>
    </w:rPr>
  </w:style>
  <w:style w:type="character" w:customStyle="1" w:styleId="MySuperscript">
    <w:name w:val="MySuperscript"/>
    <w:uiPriority w:val="1"/>
    <w:semiHidden/>
    <w:rsid w:val="008268EB"/>
    <w:rPr>
      <w:vertAlign w:val="superscript"/>
    </w:rPr>
  </w:style>
  <w:style w:type="character" w:customStyle="1" w:styleId="MySubscript">
    <w:name w:val="MySubscript"/>
    <w:uiPriority w:val="1"/>
    <w:semiHidden/>
    <w:rsid w:val="008268EB"/>
    <w:rPr>
      <w:vertAlign w:val="subscript"/>
    </w:rPr>
  </w:style>
  <w:style w:type="character" w:customStyle="1" w:styleId="MySuperscriptItalics">
    <w:name w:val="MySuperscript&amp;Italics"/>
    <w:uiPriority w:val="1"/>
    <w:semiHidden/>
    <w:rsid w:val="008268EB"/>
    <w:rPr>
      <w:i/>
      <w:vertAlign w:val="superscript"/>
    </w:rPr>
  </w:style>
  <w:style w:type="character" w:customStyle="1" w:styleId="MySubscriptItalics">
    <w:name w:val="MySubscript&amp;Italics"/>
    <w:uiPriority w:val="1"/>
    <w:semiHidden/>
    <w:rsid w:val="008268EB"/>
    <w:rPr>
      <w:i/>
      <w:vertAlign w:val="subscript"/>
    </w:rPr>
  </w:style>
  <w:style w:type="paragraph" w:customStyle="1" w:styleId="QuoteBullet">
    <w:name w:val="Quote Bullet"/>
    <w:basedOn w:val="Quote"/>
    <w:qFormat/>
    <w:rsid w:val="008268EB"/>
    <w:pPr>
      <w:numPr>
        <w:numId w:val="19"/>
      </w:numPr>
      <w:tabs>
        <w:tab w:val="left" w:pos="1134"/>
      </w:tabs>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QuoteBullet2">
    <w:name w:val="Quote Bullet 2"/>
    <w:basedOn w:val="Quote"/>
    <w:qFormat/>
    <w:rsid w:val="008268EB"/>
    <w:pPr>
      <w:numPr>
        <w:ilvl w:val="1"/>
        <w:numId w:val="19"/>
      </w:numPr>
      <w:spacing w:before="120" w:after="120" w:line="240" w:lineRule="atLeast"/>
      <w:ind w:right="0"/>
      <w:jc w:val="left"/>
    </w:pPr>
    <w:rPr>
      <w:rFonts w:asciiTheme="minorHAnsi" w:eastAsia="Times New Roman" w:hAnsiTheme="minorHAnsi" w:cs="Arial"/>
      <w:color w:val="363534"/>
      <w:sz w:val="20"/>
      <w:szCs w:val="20"/>
      <w:lang w:eastAsia="en-AU"/>
    </w:rPr>
  </w:style>
  <w:style w:type="paragraph" w:customStyle="1" w:styleId="PullOutBoxNumbered">
    <w:name w:val="Pull Out Box Numbered"/>
    <w:basedOn w:val="PullOutBoxBodyText"/>
    <w:qFormat/>
    <w:rsid w:val="008268EB"/>
    <w:pPr>
      <w:numPr>
        <w:numId w:val="17"/>
      </w:numPr>
    </w:pPr>
  </w:style>
  <w:style w:type="paragraph" w:customStyle="1" w:styleId="PullOutBoxNumbered2">
    <w:name w:val="Pull Out Box Numbered 2"/>
    <w:basedOn w:val="PullOutBoxBodyText"/>
    <w:qFormat/>
    <w:rsid w:val="008268EB"/>
    <w:pPr>
      <w:numPr>
        <w:ilvl w:val="1"/>
        <w:numId w:val="17"/>
      </w:numPr>
    </w:pPr>
  </w:style>
  <w:style w:type="paragraph" w:customStyle="1" w:styleId="PullOutBoxNumbered3">
    <w:name w:val="Pull Out Box Numbered 3"/>
    <w:basedOn w:val="PullOutBoxBodyText"/>
    <w:qFormat/>
    <w:rsid w:val="008268EB"/>
    <w:pPr>
      <w:numPr>
        <w:ilvl w:val="2"/>
        <w:numId w:val="17"/>
      </w:numPr>
    </w:pPr>
  </w:style>
  <w:style w:type="table" w:styleId="TableGrid10">
    <w:name w:val="Table Grid 1"/>
    <w:basedOn w:val="TableNormal"/>
    <w:rsid w:val="008268EB"/>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8268EB"/>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
    <w:name w:val="Table Simple 21"/>
    <w:basedOn w:val="TableNormal"/>
    <w:next w:val="TableSimple2"/>
    <w:rsid w:val="008268EB"/>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8268EB"/>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8268EB"/>
    <w:pPr>
      <w:spacing w:before="180" w:after="170"/>
    </w:pPr>
  </w:style>
  <w:style w:type="paragraph" w:customStyle="1" w:styleId="Heading1TopofPage">
    <w:name w:val="Heading 1 Top of Page"/>
    <w:basedOn w:val="Heading1"/>
    <w:next w:val="BodyText"/>
    <w:rsid w:val="008268EB"/>
    <w:pPr>
      <w:keepNext/>
      <w:keepLines/>
      <w:pageBreakBefore/>
      <w:framePr w:w="11906" w:h="1701" w:hSpace="11339" w:wrap="around" w:vAnchor="page" w:hAnchor="page" w:x="1" w:y="1"/>
      <w:spacing w:before="1300" w:after="360" w:line="440" w:lineRule="exact"/>
      <w:ind w:left="1134" w:right="1134"/>
    </w:pPr>
    <w:rPr>
      <w:rFonts w:ascii="Arial" w:eastAsia="Times New Roman" w:hAnsi="Arial" w:cs="Arial"/>
      <w:b/>
      <w:bCs/>
      <w:color w:val="00B2A9"/>
      <w:kern w:val="32"/>
      <w:sz w:val="40"/>
      <w:szCs w:val="32"/>
      <w:lang w:eastAsia="en-AU"/>
    </w:rPr>
  </w:style>
  <w:style w:type="paragraph" w:customStyle="1" w:styleId="SectionHeading">
    <w:name w:val="Section Heading"/>
    <w:basedOn w:val="Normal"/>
    <w:next w:val="BodyText"/>
    <w:semiHidden/>
    <w:qFormat/>
    <w:rsid w:val="008268EB"/>
    <w:pPr>
      <w:keepLines/>
      <w:pageBreakBefore/>
      <w:framePr w:w="11906" w:h="1701" w:hSpace="11339" w:wrap="around" w:vAnchor="page" w:hAnchor="page" w:xAlign="right" w:y="1"/>
      <w:spacing w:before="1300" w:after="0" w:line="240" w:lineRule="atLeast"/>
      <w:ind w:left="3969" w:right="1134"/>
      <w:jc w:val="right"/>
      <w:outlineLvl w:val="4"/>
    </w:pPr>
    <w:rPr>
      <w:rFonts w:eastAsia="Times New Roman" w:cs="Arial"/>
      <w:b/>
      <w:color w:val="FFFFFF"/>
      <w:sz w:val="52"/>
      <w:szCs w:val="40"/>
      <w:lang w:eastAsia="en-AU"/>
    </w:rPr>
  </w:style>
  <w:style w:type="paragraph" w:customStyle="1" w:styleId="HighlightBoxText">
    <w:name w:val="Highlight Box Text"/>
    <w:basedOn w:val="Normal"/>
    <w:qFormat/>
    <w:rsid w:val="008268EB"/>
    <w:pPr>
      <w:spacing w:before="120" w:after="120" w:line="300" w:lineRule="atLeast"/>
      <w:ind w:left="227" w:right="227"/>
    </w:pPr>
    <w:rPr>
      <w:rFonts w:eastAsia="Times New Roman" w:cs="Arial"/>
      <w:color w:val="FFFFFF"/>
      <w:spacing w:val="-2"/>
      <w:sz w:val="24"/>
      <w:szCs w:val="20"/>
      <w:lang w:eastAsia="en-AU"/>
    </w:rPr>
  </w:style>
  <w:style w:type="paragraph" w:customStyle="1" w:styleId="TitleBarText">
    <w:name w:val="Title Bar Text"/>
    <w:basedOn w:val="Normal"/>
    <w:uiPriority w:val="99"/>
    <w:qFormat/>
    <w:rsid w:val="008268EB"/>
    <w:pPr>
      <w:spacing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8268EB"/>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268EB"/>
    <w:pPr>
      <w:jc w:val="right"/>
    </w:pPr>
    <w:rPr>
      <w:rFonts w:asciiTheme="minorHAnsi" w:hAnsiTheme="minorHAnsi" w:cs="Times New Roman"/>
      <w:color w:val="FFFFFF"/>
    </w:rPr>
  </w:style>
  <w:style w:type="paragraph" w:customStyle="1" w:styleId="xCoverStatus">
    <w:name w:val="xCoverStatus"/>
    <w:basedOn w:val="Normal"/>
    <w:semiHidden/>
    <w:rsid w:val="008268EB"/>
    <w:pPr>
      <w:spacing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8268EB"/>
    <w:pPr>
      <w:jc w:val="center"/>
    </w:pPr>
    <w:rPr>
      <w:rFonts w:asciiTheme="minorHAnsi" w:hAnsiTheme="minorHAnsi"/>
      <w:color w:val="363534"/>
    </w:rPr>
  </w:style>
  <w:style w:type="paragraph" w:customStyle="1" w:styleId="TableHeadingCentre">
    <w:name w:val="Table Heading Centre"/>
    <w:basedOn w:val="TableHeadingLeft"/>
    <w:qFormat/>
    <w:rsid w:val="008268EB"/>
    <w:pPr>
      <w:jc w:val="center"/>
    </w:pPr>
    <w:rPr>
      <w:rFonts w:asciiTheme="minorHAnsi" w:hAnsiTheme="minorHAnsi"/>
      <w:color w:val="FFFFFF"/>
    </w:rPr>
  </w:style>
  <w:style w:type="paragraph" w:customStyle="1" w:styleId="Footnotes2">
    <w:name w:val="Footnotes 2"/>
    <w:basedOn w:val="Normal"/>
    <w:rsid w:val="008268EB"/>
    <w:pPr>
      <w:numPr>
        <w:ilvl w:val="1"/>
        <w:numId w:val="18"/>
      </w:numPr>
      <w:spacing w:after="100" w:afterAutospacing="1" w:line="180" w:lineRule="atLeast"/>
      <w:ind w:left="568" w:hanging="284"/>
      <w:contextualSpacing/>
    </w:pPr>
    <w:rPr>
      <w:rFonts w:eastAsia="Times New Roman" w:cs="Arial"/>
      <w:color w:val="363534"/>
      <w:sz w:val="14"/>
      <w:szCs w:val="20"/>
      <w:lang w:eastAsia="en-AU"/>
    </w:rPr>
  </w:style>
  <w:style w:type="table" w:customStyle="1" w:styleId="HighlightTable">
    <w:name w:val="Highlight Table"/>
    <w:basedOn w:val="TableNormal"/>
    <w:uiPriority w:val="99"/>
    <w:rsid w:val="008268EB"/>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rsid w:val="008268EB"/>
    <w:pPr>
      <w:spacing w:before="60" w:line="240" w:lineRule="atLeast"/>
    </w:pPr>
    <w:rPr>
      <w:rFonts w:asciiTheme="minorHAnsi" w:eastAsia="Times New Roman" w:hAnsiTheme="minorHAnsi" w:cs="Times New Roman"/>
      <w:color w:val="00B2A9"/>
      <w:sz w:val="20"/>
      <w:szCs w:val="20"/>
    </w:rPr>
  </w:style>
  <w:style w:type="paragraph" w:customStyle="1" w:styleId="ListAlpha">
    <w:name w:val="List Alpha"/>
    <w:basedOn w:val="Normal"/>
    <w:qFormat/>
    <w:rsid w:val="008268EB"/>
    <w:pPr>
      <w:numPr>
        <w:numId w:val="22"/>
      </w:numPr>
      <w:spacing w:before="120" w:after="120" w:line="240" w:lineRule="atLeast"/>
    </w:pPr>
    <w:rPr>
      <w:rFonts w:eastAsia="Times New Roman" w:cs="Arial"/>
      <w:color w:val="363534"/>
      <w:sz w:val="20"/>
      <w:szCs w:val="20"/>
      <w:lang w:eastAsia="en-AU"/>
    </w:rPr>
  </w:style>
  <w:style w:type="paragraph" w:customStyle="1" w:styleId="ListAlpha2">
    <w:name w:val="List Alpha 2"/>
    <w:basedOn w:val="Normal"/>
    <w:qFormat/>
    <w:rsid w:val="008268EB"/>
    <w:pPr>
      <w:numPr>
        <w:ilvl w:val="1"/>
        <w:numId w:val="22"/>
      </w:numPr>
      <w:spacing w:before="120" w:after="120" w:line="240" w:lineRule="atLeast"/>
    </w:pPr>
    <w:rPr>
      <w:rFonts w:eastAsia="Times New Roman" w:cs="Arial"/>
      <w:color w:val="363534"/>
      <w:sz w:val="20"/>
      <w:szCs w:val="20"/>
      <w:lang w:eastAsia="en-AU"/>
    </w:rPr>
  </w:style>
  <w:style w:type="paragraph" w:customStyle="1" w:styleId="ListAlpha3">
    <w:name w:val="List Alpha 3"/>
    <w:basedOn w:val="Normal"/>
    <w:qFormat/>
    <w:rsid w:val="008268EB"/>
    <w:pPr>
      <w:numPr>
        <w:ilvl w:val="2"/>
        <w:numId w:val="22"/>
      </w:numPr>
      <w:spacing w:before="120" w:after="120" w:line="240" w:lineRule="atLeast"/>
    </w:pPr>
    <w:rPr>
      <w:rFonts w:eastAsia="Times New Roman" w:cs="Arial"/>
      <w:color w:val="363534"/>
      <w:sz w:val="20"/>
      <w:szCs w:val="20"/>
      <w:lang w:eastAsia="en-AU"/>
    </w:rPr>
  </w:style>
  <w:style w:type="paragraph" w:customStyle="1" w:styleId="HighlightBoxHeading">
    <w:name w:val="Highlight Box Heading"/>
    <w:basedOn w:val="HighlightBoxText"/>
    <w:qFormat/>
    <w:rsid w:val="008268EB"/>
    <w:rPr>
      <w:b/>
    </w:rPr>
  </w:style>
  <w:style w:type="paragraph" w:customStyle="1" w:styleId="HighlightBoxBullet">
    <w:name w:val="Highlight Box Bullet"/>
    <w:basedOn w:val="HighlightBoxText"/>
    <w:qFormat/>
    <w:rsid w:val="008268EB"/>
    <w:pPr>
      <w:numPr>
        <w:numId w:val="24"/>
      </w:numPr>
      <w:tabs>
        <w:tab w:val="left" w:pos="454"/>
      </w:tabs>
    </w:pPr>
  </w:style>
  <w:style w:type="character" w:customStyle="1" w:styleId="MyUnderline">
    <w:name w:val="MyUnderline"/>
    <w:uiPriority w:val="1"/>
    <w:semiHidden/>
    <w:rsid w:val="008268EB"/>
    <w:rPr>
      <w:u w:val="single"/>
      <w:lang w:eastAsia="en-AU"/>
    </w:rPr>
  </w:style>
  <w:style w:type="character" w:customStyle="1" w:styleId="MyBoldItalicsUnderline">
    <w:name w:val="MyBoldItalicsUnderline"/>
    <w:uiPriority w:val="1"/>
    <w:semiHidden/>
    <w:rsid w:val="008268EB"/>
    <w:rPr>
      <w:b/>
      <w:i/>
      <w:u w:val="single"/>
    </w:rPr>
  </w:style>
  <w:style w:type="character" w:customStyle="1" w:styleId="MyBoldUnderline">
    <w:name w:val="MyBoldUnderline"/>
    <w:uiPriority w:val="1"/>
    <w:semiHidden/>
    <w:rsid w:val="008268EB"/>
    <w:rPr>
      <w:b/>
      <w:u w:val="single"/>
    </w:rPr>
  </w:style>
  <w:style w:type="character" w:customStyle="1" w:styleId="MyItalicsUnderline">
    <w:name w:val="MyItalicsUnderline"/>
    <w:uiPriority w:val="1"/>
    <w:semiHidden/>
    <w:rsid w:val="008268EB"/>
    <w:rPr>
      <w:i/>
      <w:u w:val="single"/>
    </w:rPr>
  </w:style>
  <w:style w:type="paragraph" w:customStyle="1" w:styleId="SmallBodyText">
    <w:name w:val="Small Body Text"/>
    <w:basedOn w:val="xDisclaimerText"/>
    <w:qFormat/>
    <w:rsid w:val="008268EB"/>
    <w:pPr>
      <w:spacing w:before="40" w:after="40" w:line="220" w:lineRule="atLeast"/>
    </w:pPr>
    <w:rPr>
      <w:sz w:val="18"/>
    </w:rPr>
  </w:style>
  <w:style w:type="paragraph" w:customStyle="1" w:styleId="SmallBullet">
    <w:name w:val="Small Bullet"/>
    <w:basedOn w:val="SmallBodyText"/>
    <w:qFormat/>
    <w:rsid w:val="008268EB"/>
    <w:pPr>
      <w:numPr>
        <w:numId w:val="23"/>
      </w:numPr>
    </w:pPr>
  </w:style>
  <w:style w:type="paragraph" w:customStyle="1" w:styleId="SmallHeading">
    <w:name w:val="Small Heading"/>
    <w:basedOn w:val="xDisclaimerHeading"/>
    <w:next w:val="SmallBodyText"/>
    <w:qFormat/>
    <w:rsid w:val="008268EB"/>
    <w:pPr>
      <w:spacing w:after="40" w:line="220" w:lineRule="atLeast"/>
    </w:pPr>
    <w:rPr>
      <w:sz w:val="18"/>
    </w:rPr>
  </w:style>
  <w:style w:type="paragraph" w:customStyle="1" w:styleId="xWeb">
    <w:name w:val="xWeb"/>
    <w:basedOn w:val="Normal"/>
    <w:qFormat/>
    <w:rsid w:val="008268EB"/>
    <w:pPr>
      <w:spacing w:after="0" w:line="240" w:lineRule="auto"/>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8268EB"/>
    <w:pPr>
      <w:spacing w:after="0" w:line="240" w:lineRule="auto"/>
    </w:pPr>
    <w:rPr>
      <w:rFonts w:eastAsia="Times New Roman" w:cs="Arial"/>
      <w:color w:val="363534"/>
      <w:sz w:val="20"/>
      <w:szCs w:val="20"/>
      <w:lang w:eastAsia="en-AU"/>
    </w:rPr>
    <w:tblPr/>
  </w:style>
  <w:style w:type="paragraph" w:customStyle="1" w:styleId="xAccessibilityText">
    <w:name w:val="xAccessibility Text"/>
    <w:basedOn w:val="Normal"/>
    <w:semiHidden/>
    <w:qFormat/>
    <w:rsid w:val="008268EB"/>
    <w:pPr>
      <w:spacing w:after="0" w:line="300" w:lineRule="exact"/>
    </w:pPr>
    <w:rPr>
      <w:rFonts w:eastAsia="Times New Roman" w:cs="Arial"/>
      <w:color w:val="363534"/>
      <w:sz w:val="24"/>
      <w:szCs w:val="20"/>
      <w:lang w:eastAsia="en-AU"/>
    </w:rPr>
  </w:style>
  <w:style w:type="paragraph" w:customStyle="1" w:styleId="xAccessibilityHeading">
    <w:name w:val="xAccessibility Heading"/>
    <w:basedOn w:val="Normal"/>
    <w:semiHidden/>
    <w:qFormat/>
    <w:rsid w:val="008268EB"/>
    <w:pPr>
      <w:spacing w:before="170" w:after="20" w:line="300" w:lineRule="exact"/>
    </w:pPr>
    <w:rPr>
      <w:rFonts w:eastAsia="Times New Roman" w:cs="Arial"/>
      <w:b/>
      <w:color w:val="363534"/>
      <w:sz w:val="24"/>
      <w:szCs w:val="20"/>
      <w:lang w:eastAsia="en-AU"/>
    </w:rPr>
  </w:style>
  <w:style w:type="paragraph" w:customStyle="1" w:styleId="FooterEvenPageNumber">
    <w:name w:val="Footer Even Page Number"/>
    <w:basedOn w:val="FooterEven"/>
    <w:rsid w:val="008268EB"/>
    <w:pPr>
      <w:framePr w:wrap="around" w:vAnchor="page" w:hAnchor="margin" w:yAlign="bottom"/>
    </w:pPr>
    <w:rPr>
      <w:b/>
      <w:color w:val="00B2A9"/>
    </w:rPr>
  </w:style>
  <w:style w:type="character" w:customStyle="1" w:styleId="HiddenText">
    <w:name w:val="Hidden Text"/>
    <w:basedOn w:val="DefaultParagraphFont"/>
    <w:uiPriority w:val="1"/>
    <w:qFormat/>
    <w:rsid w:val="008268EB"/>
    <w:rPr>
      <w:vanish/>
      <w:color w:val="FF0000"/>
      <w:sz w:val="20"/>
      <w:u w:val="dotted"/>
    </w:rPr>
  </w:style>
  <w:style w:type="paragraph" w:customStyle="1" w:styleId="xWebCoverPage">
    <w:name w:val="xWebCoverPage"/>
    <w:basedOn w:val="xWeb"/>
    <w:semiHidden/>
    <w:qFormat/>
    <w:rsid w:val="008268EB"/>
    <w:rPr>
      <w:color w:val="00B2A9"/>
    </w:rPr>
  </w:style>
  <w:style w:type="paragraph" w:customStyle="1" w:styleId="xDisclaimertext4">
    <w:name w:val="xDisclaimer text 4"/>
    <w:basedOn w:val="xDisclaimertext3"/>
    <w:qFormat/>
    <w:rsid w:val="008268E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268EB"/>
    <w:pPr>
      <w:framePr w:wrap="around"/>
      <w:spacing w:before="120" w:after="120"/>
    </w:pPr>
    <w:rPr>
      <w:b/>
      <w:color w:val="00B2A9"/>
      <w:sz w:val="20"/>
    </w:rPr>
  </w:style>
  <w:style w:type="paragraph" w:customStyle="1" w:styleId="xDisclaimertext5">
    <w:name w:val="xDisclaimer text 5"/>
    <w:basedOn w:val="xDisclaimertext4"/>
    <w:qFormat/>
    <w:rsid w:val="008268EB"/>
    <w:pPr>
      <w:framePr w:wrap="around"/>
      <w:spacing w:after="100"/>
      <w:ind w:right="3119"/>
    </w:pPr>
  </w:style>
  <w:style w:type="table" w:customStyle="1" w:styleId="TableGrid2">
    <w:name w:val="Table Grid2"/>
    <w:basedOn w:val="TableNormal"/>
    <w:next w:val="TableGrid"/>
    <w:rsid w:val="008268EB"/>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
    <w:name w:val="Light List - Accent 11"/>
    <w:basedOn w:val="TableNormal"/>
    <w:uiPriority w:val="61"/>
    <w:rsid w:val="008268EB"/>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4Char1">
    <w:name w:val="Heading 4 Char1"/>
    <w:basedOn w:val="DefaultParagraphFont"/>
    <w:uiPriority w:val="9"/>
    <w:semiHidden/>
    <w:rsid w:val="008268EB"/>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8268EB"/>
    <w:rPr>
      <w:rFonts w:asciiTheme="majorHAnsi" w:eastAsiaTheme="majorEastAsia" w:hAnsiTheme="majorHAnsi" w:cstheme="majorBidi"/>
      <w:color w:val="2F5496" w:themeColor="accent1" w:themeShade="BF"/>
      <w:sz w:val="32"/>
      <w:szCs w:val="32"/>
    </w:rPr>
  </w:style>
  <w:style w:type="character" w:customStyle="1" w:styleId="Heading7Char1">
    <w:name w:val="Heading 7 Char1"/>
    <w:basedOn w:val="DefaultParagraphFont"/>
    <w:uiPriority w:val="9"/>
    <w:semiHidden/>
    <w:rsid w:val="008268EB"/>
    <w:rPr>
      <w:rFonts w:asciiTheme="majorHAnsi" w:eastAsiaTheme="majorEastAsia" w:hAnsiTheme="majorHAnsi" w:cstheme="majorBidi"/>
      <w:i/>
      <w:iCs/>
      <w:color w:val="1F3763" w:themeColor="accent1" w:themeShade="7F"/>
    </w:rPr>
  </w:style>
  <w:style w:type="character" w:customStyle="1" w:styleId="Heading9Char1">
    <w:name w:val="Heading 9 Char1"/>
    <w:basedOn w:val="DefaultParagraphFont"/>
    <w:uiPriority w:val="9"/>
    <w:semiHidden/>
    <w:rsid w:val="008268EB"/>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8268EB"/>
    <w:rPr>
      <w:rFonts w:asciiTheme="majorHAnsi" w:eastAsiaTheme="majorEastAsia" w:hAnsiTheme="majorHAnsi" w:cstheme="majorBidi"/>
      <w:color w:val="272727" w:themeColor="text1" w:themeTint="D8"/>
      <w:sz w:val="21"/>
      <w:szCs w:val="21"/>
    </w:rPr>
  </w:style>
  <w:style w:type="paragraph" w:styleId="BlockText">
    <w:name w:val="Block Text"/>
    <w:basedOn w:val="Normal"/>
    <w:semiHidden/>
    <w:unhideWhenUsed/>
    <w:rsid w:val="008268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IntenseQuote">
    <w:name w:val="Intense Quote"/>
    <w:basedOn w:val="Normal"/>
    <w:next w:val="Normal"/>
    <w:link w:val="IntenseQuoteChar"/>
    <w:qFormat/>
    <w:rsid w:val="008268EB"/>
    <w:pPr>
      <w:pBdr>
        <w:top w:val="single" w:sz="4" w:space="10" w:color="4472C4" w:themeColor="accent1"/>
        <w:bottom w:val="single" w:sz="4" w:space="10" w:color="4472C4" w:themeColor="accent1"/>
      </w:pBdr>
      <w:spacing w:before="360" w:after="360"/>
      <w:ind w:left="864" w:right="864"/>
      <w:jc w:val="center"/>
    </w:pPr>
    <w:rPr>
      <w:rFonts w:ascii="Arial" w:hAnsi="Arial" w:cs="Times New Roman"/>
      <w:b/>
      <w:bCs/>
      <w:i/>
      <w:iCs/>
      <w:color w:val="E5F7F6"/>
      <w:sz w:val="20"/>
      <w:szCs w:val="20"/>
    </w:rPr>
  </w:style>
  <w:style w:type="character" w:customStyle="1" w:styleId="IntenseQuoteChar1">
    <w:name w:val="Intense Quote Char1"/>
    <w:basedOn w:val="DefaultParagraphFont"/>
    <w:uiPriority w:val="30"/>
    <w:rsid w:val="008268EB"/>
    <w:rPr>
      <w:i/>
      <w:iCs/>
      <w:color w:val="4472C4" w:themeColor="accent1"/>
    </w:rPr>
  </w:style>
  <w:style w:type="table" w:styleId="TableSimple2">
    <w:name w:val="Table Simple 2"/>
    <w:basedOn w:val="TableNormal"/>
    <w:uiPriority w:val="99"/>
    <w:semiHidden/>
    <w:unhideWhenUsed/>
    <w:rsid w:val="008268E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1">
    <w:name w:val="Heading 2 Char1"/>
    <w:basedOn w:val="DefaultParagraphFont"/>
    <w:uiPriority w:val="9"/>
    <w:semiHidden/>
    <w:rsid w:val="008268EB"/>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8268E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rsid w:val="0082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2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268EB"/>
  </w:style>
  <w:style w:type="numbering" w:customStyle="1" w:styleId="NoList1111">
    <w:name w:val="No List1111"/>
    <w:next w:val="NoList"/>
    <w:uiPriority w:val="99"/>
    <w:semiHidden/>
    <w:unhideWhenUsed/>
    <w:rsid w:val="008268EB"/>
  </w:style>
  <w:style w:type="table" w:customStyle="1" w:styleId="TableGrid6">
    <w:name w:val="Table Grid6"/>
    <w:basedOn w:val="TableNormal"/>
    <w:next w:val="TableGrid"/>
    <w:rsid w:val="0082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xTable2">
    <w:name w:val="x Table 2"/>
    <w:basedOn w:val="xTable1"/>
    <w:uiPriority w:val="99"/>
    <w:rsid w:val="008268EB"/>
    <w:pPr>
      <w:spacing w:after="0" w:line="240" w:lineRule="auto"/>
    </w:pPr>
    <w:rPr>
      <w:rFonts w:ascii="Segoe UI" w:hAnsi="Segoe UI"/>
      <w:sz w:val="19"/>
    </w:rPr>
    <w:tblPr>
      <w:tblBorders>
        <w:bottom w:val="none" w:sz="0" w:space="0" w:color="auto"/>
        <w:insideH w:val="single" w:sz="4" w:space="0" w:color="7F7F7F" w:themeColor="text1" w:themeTint="80"/>
      </w:tblBorders>
    </w:tblPr>
    <w:tcPr>
      <w:shd w:val="clear" w:color="auto" w:fill="auto"/>
    </w:tcPr>
    <w:tblStylePr w:type="firstRow">
      <w:pPr>
        <w:wordWrap/>
        <w:spacing w:beforeLines="0" w:before="20" w:beforeAutospacing="0" w:afterLines="0" w:after="20" w:afterAutospacing="0" w:line="240" w:lineRule="atLeast"/>
        <w:jc w:val="left"/>
      </w:pPr>
      <w:rPr>
        <w:rFonts w:ascii="Chiller" w:hAnsi="Chiller"/>
        <w:b w:val="0"/>
        <w:i w:val="0"/>
        <w:color w:val="auto"/>
        <w:sz w:val="19"/>
      </w:rPr>
      <w:tblPr/>
      <w:tcPr>
        <w:tcBorders>
          <w:bottom w:val="single" w:sz="4" w:space="0" w:color="auto"/>
        </w:tcBorders>
        <w:shd w:val="clear" w:color="auto" w:fill="E2EFD9" w:themeFill="accent6" w:themeFillTint="33"/>
        <w:vAlign w:val="bottom"/>
      </w:tcPr>
    </w:tblStylePr>
    <w:tblStylePr w:type="lastRow">
      <w:rPr>
        <w:rFonts w:ascii="Chiller" w:hAnsi="Chiller"/>
        <w:b/>
        <w:sz w:val="19"/>
      </w:rPr>
      <w:tblPr/>
      <w:tcPr>
        <w:tcBorders>
          <w:bottom w:val="single" w:sz="4" w:space="0" w:color="auto"/>
        </w:tcBorders>
      </w:tcPr>
    </w:tblStylePr>
    <w:tblStylePr w:type="firstCol">
      <w:rPr>
        <w:rFonts w:ascii="Chiller" w:hAnsi="Chiller"/>
        <w:sz w:val="19"/>
      </w:rPr>
    </w:tblStylePr>
    <w:tblStylePr w:type="band1Vert">
      <w:rPr>
        <w:rFonts w:ascii="Chiller" w:hAnsi="Chiller"/>
        <w:sz w:val="19"/>
      </w:rPr>
    </w:tblStylePr>
    <w:tblStylePr w:type="band2Vert">
      <w:rPr>
        <w:rFonts w:ascii="Chiller" w:hAnsi="Chiller"/>
        <w:sz w:val="19"/>
      </w:rPr>
      <w:tblPr/>
      <w:tcPr>
        <w:tcBorders>
          <w:left w:val="nil"/>
        </w:tcBorders>
      </w:tcPr>
    </w:tblStylePr>
    <w:tblStylePr w:type="band1Horz">
      <w:rPr>
        <w:rFonts w:ascii="Chiller" w:hAnsi="Chiller"/>
        <w:sz w:val="19"/>
      </w:rPr>
      <w:tblPr/>
      <w:tcPr>
        <w:tcBorders>
          <w:bottom w:val="nil"/>
          <w:insideH w:val="single" w:sz="4" w:space="0" w:color="auto"/>
        </w:tcBorders>
      </w:tcPr>
    </w:tblStylePr>
    <w:tblStylePr w:type="band2Horz">
      <w:rPr>
        <w:rFonts w:ascii="Chiller" w:hAnsi="Chiller"/>
        <w:sz w:val="19"/>
      </w:rPr>
      <w:tblPr/>
      <w:tcPr>
        <w:tcBorders>
          <w:left w:val="nil"/>
          <w:bottom w:val="single" w:sz="4" w:space="0" w:color="000000"/>
          <w:insideH w:val="single" w:sz="4" w:space="0" w:color="auto"/>
        </w:tcBorders>
      </w:tcPr>
    </w:tblStylePr>
    <w:tblStylePr w:type="nwCell">
      <w:pPr>
        <w:jc w:val="left"/>
      </w:pPr>
      <w:tblPr/>
      <w:tcPr>
        <w:vAlign w:val="bottom"/>
      </w:tcPr>
    </w:tblStylePr>
  </w:style>
  <w:style w:type="table" w:customStyle="1" w:styleId="LightList-Accent311">
    <w:name w:val="Light List - Accent 311"/>
    <w:basedOn w:val="TableNormal"/>
    <w:next w:val="LightList-Accent3"/>
    <w:uiPriority w:val="61"/>
    <w:rsid w:val="008268EB"/>
    <w:pPr>
      <w:spacing w:after="0" w:line="240" w:lineRule="auto"/>
    </w:pPr>
    <w:rPr>
      <w:rFonts w:eastAsia="STZhongsong"/>
      <w:lang w:val="en-US" w:eastAsia="ja-JP"/>
    </w:rPr>
    <w:tblPr>
      <w:tblStyleRowBandSize w:val="1"/>
      <w:tblStyleColBandSize w:val="1"/>
      <w:tblBorders>
        <w:top w:val="single" w:sz="8" w:space="0" w:color="B0D8B5"/>
        <w:left w:val="single" w:sz="8" w:space="0" w:color="B0D8B5"/>
        <w:bottom w:val="single" w:sz="8" w:space="0" w:color="B0D8B5"/>
        <w:right w:val="single" w:sz="8" w:space="0" w:color="B0D8B5"/>
      </w:tblBorders>
    </w:tblPr>
    <w:tblStylePr w:type="firstRow">
      <w:pPr>
        <w:spacing w:before="0" w:after="0" w:line="240" w:lineRule="auto"/>
      </w:pPr>
      <w:rPr>
        <w:b/>
        <w:bCs/>
        <w:color w:val="FFFFFF"/>
      </w:rPr>
      <w:tblPr/>
      <w:tcPr>
        <w:shd w:val="clear" w:color="auto" w:fill="B0D8B5"/>
      </w:tcPr>
    </w:tblStylePr>
    <w:tblStylePr w:type="lastRow">
      <w:pPr>
        <w:spacing w:before="0" w:after="0" w:line="240" w:lineRule="auto"/>
      </w:pPr>
      <w:rPr>
        <w:b/>
        <w:bCs/>
      </w:rPr>
      <w:tblPr/>
      <w:tcPr>
        <w:tcBorders>
          <w:top w:val="double" w:sz="6" w:space="0" w:color="B0D8B5"/>
          <w:left w:val="single" w:sz="8" w:space="0" w:color="B0D8B5"/>
          <w:bottom w:val="single" w:sz="8" w:space="0" w:color="B0D8B5"/>
          <w:right w:val="single" w:sz="8" w:space="0" w:color="B0D8B5"/>
        </w:tcBorders>
      </w:tcPr>
    </w:tblStylePr>
    <w:tblStylePr w:type="firstCol">
      <w:rPr>
        <w:b/>
        <w:bCs/>
      </w:rPr>
    </w:tblStylePr>
    <w:tblStylePr w:type="lastCol">
      <w:rPr>
        <w:b/>
        <w:bCs/>
      </w:rPr>
    </w:tblStylePr>
    <w:tblStylePr w:type="band1Vert">
      <w:tblPr/>
      <w:tcPr>
        <w:tcBorders>
          <w:top w:val="single" w:sz="8" w:space="0" w:color="B0D8B5"/>
          <w:left w:val="single" w:sz="8" w:space="0" w:color="B0D8B5"/>
          <w:bottom w:val="single" w:sz="8" w:space="0" w:color="B0D8B5"/>
          <w:right w:val="single" w:sz="8" w:space="0" w:color="B0D8B5"/>
        </w:tcBorders>
      </w:tcPr>
    </w:tblStylePr>
    <w:tblStylePr w:type="band1Horz">
      <w:tblPr/>
      <w:tcPr>
        <w:tcBorders>
          <w:top w:val="single" w:sz="8" w:space="0" w:color="B0D8B5"/>
          <w:left w:val="single" w:sz="8" w:space="0" w:color="B0D8B5"/>
          <w:bottom w:val="single" w:sz="8" w:space="0" w:color="B0D8B5"/>
          <w:right w:val="single" w:sz="8" w:space="0" w:color="B0D8B5"/>
        </w:tcBorders>
      </w:tcPr>
    </w:tblStylePr>
  </w:style>
  <w:style w:type="table" w:customStyle="1" w:styleId="LightShading11">
    <w:name w:val="Light Shading11"/>
    <w:basedOn w:val="TableNormal"/>
    <w:next w:val="LightShading"/>
    <w:uiPriority w:val="60"/>
    <w:rsid w:val="008268E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next w:val="LightShading-Accent1"/>
    <w:uiPriority w:val="60"/>
    <w:rsid w:val="008268EB"/>
    <w:pPr>
      <w:spacing w:after="0" w:line="240" w:lineRule="auto"/>
    </w:pPr>
    <w:rPr>
      <w:color w:val="1D4F8B"/>
    </w:rPr>
    <w:tblPr>
      <w:tblStyleRowBandSize w:val="1"/>
      <w:tblStyleColBandSize w:val="1"/>
      <w:tblBorders>
        <w:top w:val="single" w:sz="8" w:space="0" w:color="276ABB"/>
        <w:bottom w:val="single" w:sz="8" w:space="0" w:color="276ABB"/>
      </w:tblBorders>
    </w:tblPr>
    <w:tblStylePr w:type="fir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lastRow">
      <w:pPr>
        <w:spacing w:before="0" w:after="0" w:line="240" w:lineRule="auto"/>
      </w:pPr>
      <w:rPr>
        <w:b/>
        <w:bCs/>
      </w:rPr>
      <w:tblPr/>
      <w:tcPr>
        <w:tcBorders>
          <w:top w:val="single" w:sz="8" w:space="0" w:color="276ABB"/>
          <w:left w:val="nil"/>
          <w:bottom w:val="single" w:sz="8" w:space="0" w:color="276AB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9F3"/>
      </w:tcPr>
    </w:tblStylePr>
    <w:tblStylePr w:type="band1Horz">
      <w:tblPr/>
      <w:tcPr>
        <w:tcBorders>
          <w:left w:val="nil"/>
          <w:right w:val="nil"/>
          <w:insideH w:val="nil"/>
          <w:insideV w:val="nil"/>
        </w:tcBorders>
        <w:shd w:val="clear" w:color="auto" w:fill="C4D9F3"/>
      </w:tcPr>
    </w:tblStylePr>
  </w:style>
  <w:style w:type="table" w:customStyle="1" w:styleId="LightShading-Accent611">
    <w:name w:val="Light Shading - Accent 611"/>
    <w:basedOn w:val="TableNormal"/>
    <w:next w:val="LightShading-Accent6"/>
    <w:uiPriority w:val="60"/>
    <w:rsid w:val="008268EB"/>
    <w:pPr>
      <w:spacing w:after="0" w:line="240" w:lineRule="auto"/>
    </w:pPr>
    <w:rPr>
      <w:color w:val="03AEBC"/>
    </w:rPr>
    <w:tblPr>
      <w:tblStyleRowBandSize w:val="1"/>
      <w:tblStyleColBandSize w:val="1"/>
      <w:tblBorders>
        <w:top w:val="single" w:sz="8" w:space="0" w:color="05E9FB"/>
        <w:bottom w:val="single" w:sz="8" w:space="0" w:color="05E9FB"/>
      </w:tblBorders>
    </w:tblPr>
    <w:tblStylePr w:type="fir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lastRow">
      <w:pPr>
        <w:spacing w:before="0" w:after="0" w:line="240" w:lineRule="auto"/>
      </w:pPr>
      <w:rPr>
        <w:b/>
        <w:bCs/>
      </w:rPr>
      <w:tblPr/>
      <w:tcPr>
        <w:tcBorders>
          <w:top w:val="single" w:sz="8" w:space="0" w:color="05E9FB"/>
          <w:left w:val="nil"/>
          <w:bottom w:val="single" w:sz="8" w:space="0" w:color="05E9F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9FE"/>
      </w:tcPr>
    </w:tblStylePr>
    <w:tblStylePr w:type="band1Horz">
      <w:tblPr/>
      <w:tcPr>
        <w:tcBorders>
          <w:left w:val="nil"/>
          <w:right w:val="nil"/>
          <w:insideH w:val="nil"/>
          <w:insideV w:val="nil"/>
        </w:tcBorders>
        <w:shd w:val="clear" w:color="auto" w:fill="C1F9FE"/>
      </w:tcPr>
    </w:tblStylePr>
  </w:style>
  <w:style w:type="table" w:customStyle="1" w:styleId="LightShading-Accent211">
    <w:name w:val="Light Shading - Accent 211"/>
    <w:basedOn w:val="TableGrid"/>
    <w:next w:val="LightShading-Accent2"/>
    <w:uiPriority w:val="60"/>
    <w:rsid w:val="008268EB"/>
    <w:rPr>
      <w:color w:val="0292DF"/>
    </w:rPr>
    <w:tblPr>
      <w:tblStyleRowBandSize w:val="1"/>
      <w:tblStyleColBandSize w:val="1"/>
      <w:tblBorders>
        <w:top w:val="single" w:sz="8" w:space="0" w:color="31B6FD"/>
        <w:left w:val="none" w:sz="0" w:space="0" w:color="auto"/>
        <w:bottom w:val="single" w:sz="8" w:space="0" w:color="31B6FD"/>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lastRow">
      <w:pPr>
        <w:spacing w:before="0" w:after="0" w:line="240" w:lineRule="auto"/>
      </w:pPr>
      <w:rPr>
        <w:b/>
        <w:bCs/>
      </w:rPr>
      <w:tblPr/>
      <w:tcPr>
        <w:tcBorders>
          <w:top w:val="single" w:sz="8" w:space="0" w:color="31B6FD"/>
          <w:left w:val="nil"/>
          <w:bottom w:val="single" w:sz="8" w:space="0" w:color="31B6F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cPr>
    </w:tblStylePr>
    <w:tblStylePr w:type="band1Horz">
      <w:tblPr/>
      <w:tcPr>
        <w:tcBorders>
          <w:left w:val="nil"/>
          <w:right w:val="nil"/>
          <w:insideH w:val="nil"/>
          <w:insideV w:val="nil"/>
        </w:tcBorders>
        <w:shd w:val="clear" w:color="auto" w:fill="CBECFE"/>
      </w:tcPr>
    </w:tblStylePr>
  </w:style>
  <w:style w:type="table" w:customStyle="1" w:styleId="MediumList2-Accent111">
    <w:name w:val="Medium List 2 - Accent 111"/>
    <w:basedOn w:val="TableNormal"/>
    <w:next w:val="MediumList2-Accent1"/>
    <w:uiPriority w:val="66"/>
    <w:rsid w:val="008268EB"/>
    <w:pPr>
      <w:spacing w:after="0" w:line="240" w:lineRule="auto"/>
    </w:pPr>
    <w:rPr>
      <w:rFonts w:ascii="Gill Sans MT" w:eastAsia="STZhongsong" w:hAnsi="Gill Sans MT" w:cs="Majalla UI"/>
      <w:color w:val="000000"/>
      <w:lang w:val="en-US" w:eastAsia="ja-JP"/>
    </w:rPr>
    <w:tblPr>
      <w:tblStyleRowBandSize w:val="1"/>
      <w:tblStyleColBandSize w:val="1"/>
      <w:tblBorders>
        <w:top w:val="single" w:sz="8" w:space="0" w:color="276ABB"/>
        <w:left w:val="single" w:sz="8" w:space="0" w:color="276ABB"/>
        <w:bottom w:val="single" w:sz="8" w:space="0" w:color="276ABB"/>
        <w:right w:val="single" w:sz="8" w:space="0" w:color="276ABB"/>
      </w:tblBorders>
    </w:tblPr>
    <w:tblStylePr w:type="firstRow">
      <w:rPr>
        <w:sz w:val="24"/>
        <w:szCs w:val="24"/>
      </w:rPr>
      <w:tblPr/>
      <w:tcPr>
        <w:tcBorders>
          <w:top w:val="nil"/>
          <w:left w:val="nil"/>
          <w:bottom w:val="single" w:sz="24" w:space="0" w:color="276ABB"/>
          <w:right w:val="nil"/>
          <w:insideH w:val="nil"/>
          <w:insideV w:val="nil"/>
        </w:tcBorders>
        <w:shd w:val="clear" w:color="auto" w:fill="FFFFFF"/>
      </w:tcPr>
    </w:tblStylePr>
    <w:tblStylePr w:type="lastRow">
      <w:tblPr/>
      <w:tcPr>
        <w:tcBorders>
          <w:top w:val="single" w:sz="8" w:space="0" w:color="276ABB"/>
          <w:left w:val="nil"/>
          <w:bottom w:val="nil"/>
          <w:right w:val="nil"/>
          <w:insideH w:val="nil"/>
          <w:insideV w:val="nil"/>
        </w:tcBorders>
        <w:shd w:val="clear" w:color="auto" w:fill="FFFFFF"/>
      </w:tcPr>
    </w:tblStylePr>
    <w:tblStylePr w:type="firstCol">
      <w:tblPr/>
      <w:tcPr>
        <w:tcBorders>
          <w:top w:val="nil"/>
          <w:left w:val="nil"/>
          <w:bottom w:val="nil"/>
          <w:right w:val="single" w:sz="8" w:space="0" w:color="276ABB"/>
          <w:insideH w:val="nil"/>
          <w:insideV w:val="nil"/>
        </w:tcBorders>
        <w:shd w:val="clear" w:color="auto" w:fill="FFFFFF"/>
      </w:tcPr>
    </w:tblStylePr>
    <w:tblStylePr w:type="lastCol">
      <w:tblPr/>
      <w:tcPr>
        <w:tcBorders>
          <w:top w:val="nil"/>
          <w:left w:val="single" w:sz="8" w:space="0" w:color="276ABB"/>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4D9F3"/>
      </w:tcPr>
    </w:tblStylePr>
    <w:tblStylePr w:type="band1Horz">
      <w:tblPr/>
      <w:tcPr>
        <w:tcBorders>
          <w:top w:val="nil"/>
          <w:bottom w:val="nil"/>
          <w:insideH w:val="nil"/>
          <w:insideV w:val="nil"/>
        </w:tcBorders>
        <w:shd w:val="clear" w:color="auto" w:fill="C4D9F3"/>
      </w:tcPr>
    </w:tblStylePr>
    <w:tblStylePr w:type="nwCell">
      <w:tblPr/>
      <w:tcPr>
        <w:shd w:val="clear" w:color="auto" w:fill="FFFFFF"/>
      </w:tcPr>
    </w:tblStylePr>
    <w:tblStylePr w:type="swCell">
      <w:tblPr/>
      <w:tcPr>
        <w:tcBorders>
          <w:top w:val="nil"/>
        </w:tcBorders>
      </w:tcPr>
    </w:tblStylePr>
  </w:style>
  <w:style w:type="table" w:customStyle="1" w:styleId="Frame1">
    <w:name w:val="Frame1"/>
    <w:basedOn w:val="TableNormal"/>
    <w:uiPriority w:val="99"/>
    <w:rsid w:val="008268EB"/>
    <w:pPr>
      <w:spacing w:after="0" w:line="240" w:lineRule="auto"/>
    </w:pPr>
    <w:tblPr>
      <w:tblCellMar>
        <w:left w:w="0" w:type="dxa"/>
        <w:right w:w="0" w:type="dxa"/>
      </w:tblCellMar>
    </w:tblPr>
  </w:style>
  <w:style w:type="table" w:customStyle="1" w:styleId="TableGrid31">
    <w:name w:val="Table Grid31"/>
    <w:basedOn w:val="TableNormal"/>
    <w:next w:val="TableGrid"/>
    <w:uiPriority w:val="59"/>
    <w:rsid w:val="008268EB"/>
    <w:pPr>
      <w:spacing w:after="0" w:line="240" w:lineRule="auto"/>
    </w:pPr>
    <w:rPr>
      <w:rFonts w:eastAsia="STZhongsong"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unhideWhenUsed/>
    <w:rsid w:val="008268E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Shading2">
    <w:name w:val="Light Shading2"/>
    <w:basedOn w:val="TableNormal"/>
    <w:next w:val="LightShading"/>
    <w:uiPriority w:val="60"/>
    <w:unhideWhenUsed/>
    <w:rsid w:val="008268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unhideWhenUsed/>
    <w:rsid w:val="008268E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62">
    <w:name w:val="Light Shading - Accent 62"/>
    <w:basedOn w:val="TableNormal"/>
    <w:next w:val="LightShading-Accent6"/>
    <w:uiPriority w:val="60"/>
    <w:unhideWhenUsed/>
    <w:rsid w:val="008268E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Shading-Accent22">
    <w:name w:val="Light Shading - Accent 22"/>
    <w:basedOn w:val="TableNormal"/>
    <w:next w:val="LightShading-Accent2"/>
    <w:uiPriority w:val="60"/>
    <w:unhideWhenUsed/>
    <w:rsid w:val="008268E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MediumList2-Accent12">
    <w:name w:val="Medium List 2 - Accent 12"/>
    <w:basedOn w:val="TableNormal"/>
    <w:next w:val="MediumList2-Accent1"/>
    <w:uiPriority w:val="66"/>
    <w:unhideWhenUsed/>
    <w:rsid w:val="008268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e11">
    <w:name w:val="Style11"/>
    <w:basedOn w:val="TableNormal"/>
    <w:uiPriority w:val="99"/>
    <w:rsid w:val="008268EB"/>
    <w:pPr>
      <w:spacing w:after="0" w:line="240" w:lineRule="auto"/>
    </w:pPr>
    <w:tblPr/>
  </w:style>
  <w:style w:type="table" w:customStyle="1" w:styleId="TableGrid11">
    <w:name w:val="Table Grid11"/>
    <w:basedOn w:val="TableNormal"/>
    <w:next w:val="TableGrid"/>
    <w:rsid w:val="00826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next w:val="TableColumns3"/>
    <w:rsid w:val="008268EB"/>
    <w:pPr>
      <w:spacing w:after="0" w:line="240" w:lineRule="atLeast"/>
    </w:pPr>
    <w:rPr>
      <w:rFonts w:ascii="Times New Roman" w:eastAsia="Times New Roman" w:hAnsi="Times New Roman" w:cs="Times New Roman"/>
      <w:b/>
      <w:bCs/>
      <w:color w:val="363534"/>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AsPlaceholder1">
    <w:name w:val="Table As Placeholder1"/>
    <w:basedOn w:val="TableNormal"/>
    <w:uiPriority w:val="99"/>
    <w:qFormat/>
    <w:rsid w:val="008268EB"/>
    <w:pPr>
      <w:spacing w:after="0" w:line="240" w:lineRule="atLeast"/>
    </w:pPr>
    <w:rPr>
      <w:rFonts w:eastAsia="Times New Roman" w:cs="Arial"/>
      <w:color w:val="363534"/>
      <w:sz w:val="20"/>
      <w:szCs w:val="20"/>
      <w:lang w:eastAsia="en-AU"/>
    </w:rPr>
    <w:tblPr>
      <w:tblCellMar>
        <w:left w:w="0" w:type="dxa"/>
        <w:right w:w="0" w:type="dxa"/>
      </w:tblCellMar>
    </w:tblPr>
  </w:style>
  <w:style w:type="table" w:customStyle="1" w:styleId="PullOutBoxTable1">
    <w:name w:val="Pull Out Box Table1"/>
    <w:basedOn w:val="TableNormal"/>
    <w:uiPriority w:val="99"/>
    <w:rsid w:val="008268EB"/>
    <w:pPr>
      <w:spacing w:after="0" w:line="240" w:lineRule="auto"/>
    </w:pPr>
    <w:rPr>
      <w:rFonts w:eastAsia="Times New Roman" w:cs="Arial"/>
      <w:color w:val="363534"/>
      <w:sz w:val="20"/>
      <w:szCs w:val="20"/>
      <w:lang w:eastAsia="en-AU"/>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table" w:customStyle="1" w:styleId="TableGrid110">
    <w:name w:val="Table Grid 11"/>
    <w:basedOn w:val="TableNormal"/>
    <w:next w:val="TableGrid10"/>
    <w:rsid w:val="008268EB"/>
    <w:pPr>
      <w:spacing w:after="0" w:line="240" w:lineRule="atLeast"/>
    </w:pPr>
    <w:rPr>
      <w:rFonts w:eastAsia="Times New Roman" w:cs="Arial"/>
      <w:color w:val="363534"/>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8268EB"/>
    <w:pPr>
      <w:spacing w:after="0" w:line="240" w:lineRule="atLeast"/>
    </w:pPr>
    <w:rPr>
      <w:rFonts w:eastAsia="Times New Roman" w:cs="Arial"/>
      <w:color w:val="363534"/>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211">
    <w:name w:val="Table Simple 211"/>
    <w:basedOn w:val="TableNormal"/>
    <w:next w:val="TableSimple2"/>
    <w:rsid w:val="008268EB"/>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21">
    <w:name w:val="Table Subtle 21"/>
    <w:basedOn w:val="TableNormal"/>
    <w:next w:val="TableSubtle2"/>
    <w:rsid w:val="008268EB"/>
    <w:pPr>
      <w:spacing w:after="0" w:line="240" w:lineRule="atLeast"/>
    </w:pPr>
    <w:rPr>
      <w:rFonts w:eastAsia="Times New Roman" w:cs="Arial"/>
      <w:color w:val="363534"/>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ogoPlaceholder1">
    <w:name w:val="Logo Placeholder1"/>
    <w:basedOn w:val="TableNormal"/>
    <w:uiPriority w:val="99"/>
    <w:rsid w:val="008268EB"/>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table" w:customStyle="1" w:styleId="HighlightTable1">
    <w:name w:val="Highlight Table1"/>
    <w:basedOn w:val="TableNormal"/>
    <w:uiPriority w:val="99"/>
    <w:rsid w:val="008268EB"/>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cPr>
  </w:style>
  <w:style w:type="table" w:customStyle="1" w:styleId="DELWPTableNormal1">
    <w:name w:val="DELWP Table Normal1"/>
    <w:basedOn w:val="TableNormal"/>
    <w:uiPriority w:val="99"/>
    <w:rsid w:val="008268EB"/>
    <w:pPr>
      <w:spacing w:after="0" w:line="240" w:lineRule="auto"/>
    </w:pPr>
    <w:rPr>
      <w:rFonts w:eastAsia="Times New Roman" w:cs="Arial"/>
      <w:color w:val="363534"/>
      <w:sz w:val="20"/>
      <w:szCs w:val="20"/>
      <w:lang w:eastAsia="en-AU"/>
    </w:rPr>
    <w:tblPr/>
  </w:style>
  <w:style w:type="table" w:customStyle="1" w:styleId="TableGrid21">
    <w:name w:val="Table Grid21"/>
    <w:basedOn w:val="TableNormal"/>
    <w:next w:val="TableGrid"/>
    <w:rsid w:val="008268EB"/>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table" w:customStyle="1" w:styleId="LightList-Accent111">
    <w:name w:val="Light List - Accent 111"/>
    <w:basedOn w:val="TableNormal"/>
    <w:uiPriority w:val="61"/>
    <w:rsid w:val="008268EB"/>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Simple22">
    <w:name w:val="Table Simple 22"/>
    <w:basedOn w:val="TableNormal"/>
    <w:next w:val="TableSimple2"/>
    <w:uiPriority w:val="99"/>
    <w:semiHidden/>
    <w:unhideWhenUsed/>
    <w:rsid w:val="008268E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82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8268EB"/>
    <w:rPr>
      <w:rFonts w:ascii="Courier New" w:eastAsia="Times New Roman" w:hAnsi="Courier New" w:cs="Courier New"/>
      <w:sz w:val="20"/>
      <w:szCs w:val="20"/>
      <w:lang w:eastAsia="en-AU"/>
    </w:rPr>
  </w:style>
  <w:style w:type="paragraph" w:customStyle="1" w:styleId="font6">
    <w:name w:val="font6"/>
    <w:basedOn w:val="Normal"/>
    <w:rsid w:val="008268EB"/>
    <w:pPr>
      <w:spacing w:before="100" w:beforeAutospacing="1" w:after="100" w:afterAutospacing="1" w:line="240" w:lineRule="auto"/>
    </w:pPr>
    <w:rPr>
      <w:rFonts w:ascii="Calibri" w:eastAsia="Times New Roman" w:hAnsi="Calibri" w:cs="Calibri"/>
      <w:b/>
      <w:bCs/>
      <w:color w:val="000000"/>
      <w:sz w:val="20"/>
      <w:szCs w:val="20"/>
      <w:lang w:eastAsia="en-AU"/>
    </w:rPr>
  </w:style>
  <w:style w:type="paragraph" w:customStyle="1" w:styleId="TableParagraph">
    <w:name w:val="Table Paragraph"/>
    <w:basedOn w:val="Normal"/>
    <w:uiPriority w:val="1"/>
    <w:rsid w:val="008268EB"/>
    <w:pPr>
      <w:widowControl w:val="0"/>
      <w:spacing w:after="0" w:line="240" w:lineRule="auto"/>
    </w:pPr>
    <w:rPr>
      <w:lang w:val="en-US"/>
    </w:rPr>
  </w:style>
  <w:style w:type="numbering" w:customStyle="1" w:styleId="NoList3">
    <w:name w:val="No List3"/>
    <w:next w:val="NoList"/>
    <w:uiPriority w:val="99"/>
    <w:semiHidden/>
    <w:unhideWhenUsed/>
    <w:rsid w:val="008268EB"/>
  </w:style>
  <w:style w:type="paragraph" w:customStyle="1" w:styleId="xl88">
    <w:name w:val="xl88"/>
    <w:basedOn w:val="Normal"/>
    <w:rsid w:val="008268EB"/>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89">
    <w:name w:val="xl89"/>
    <w:basedOn w:val="Normal"/>
    <w:rsid w:val="008268EB"/>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0">
    <w:name w:val="xl90"/>
    <w:basedOn w:val="Normal"/>
    <w:rsid w:val="008268EB"/>
    <w:pPr>
      <w:pBdr>
        <w:top w:val="single" w:sz="4" w:space="0" w:color="FFFFFF"/>
        <w:left w:val="single" w:sz="4" w:space="0" w:color="D9D9D9"/>
        <w:bottom w:val="single" w:sz="4" w:space="0" w:color="D9D9D9"/>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1">
    <w:name w:val="xl91"/>
    <w:basedOn w:val="Normal"/>
    <w:rsid w:val="008268EB"/>
    <w:pPr>
      <w:pBdr>
        <w:top w:val="single" w:sz="4" w:space="0" w:color="FFFFFF"/>
        <w:left w:val="single" w:sz="4" w:space="0" w:color="D9D9D9"/>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2">
    <w:name w:val="xl92"/>
    <w:basedOn w:val="Normal"/>
    <w:rsid w:val="008268EB"/>
    <w:pPr>
      <w:pBdr>
        <w:top w:val="single" w:sz="4" w:space="0" w:color="FFFFFF"/>
        <w:left w:val="single" w:sz="4" w:space="0" w:color="D9D9D9"/>
        <w:bottom w:val="single" w:sz="4" w:space="0" w:color="D9D9D9"/>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3">
    <w:name w:val="xl93"/>
    <w:basedOn w:val="Normal"/>
    <w:rsid w:val="008268EB"/>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94">
    <w:name w:val="xl94"/>
    <w:basedOn w:val="Normal"/>
    <w:rsid w:val="008268EB"/>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5">
    <w:name w:val="xl95"/>
    <w:basedOn w:val="Normal"/>
    <w:rsid w:val="008268EB"/>
    <w:pPr>
      <w:pBdr>
        <w:top w:val="single" w:sz="4" w:space="0" w:color="FFFFFF"/>
        <w:bottom w:val="single" w:sz="4" w:space="0" w:color="D9D9D9"/>
        <w:right w:val="single" w:sz="4" w:space="0" w:color="FFFFFF"/>
      </w:pBdr>
      <w:shd w:val="clear" w:color="BDD7EE" w:fill="BDD7EE"/>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6">
    <w:name w:val="xl96"/>
    <w:basedOn w:val="Normal"/>
    <w:rsid w:val="008268EB"/>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7">
    <w:name w:val="xl97"/>
    <w:basedOn w:val="Normal"/>
    <w:rsid w:val="008268EB"/>
    <w:pPr>
      <w:pBdr>
        <w:left w:val="single" w:sz="4" w:space="0" w:color="000000"/>
      </w:pBdr>
      <w:shd w:val="clear" w:color="000000" w:fill="D8D8D8"/>
      <w:spacing w:before="100" w:beforeAutospacing="1" w:after="100" w:afterAutospacing="1" w:line="240" w:lineRule="auto"/>
      <w:textAlignment w:val="top"/>
    </w:pPr>
    <w:rPr>
      <w:rFonts w:ascii="Arial" w:eastAsia="Times New Roman" w:hAnsi="Arial" w:cs="Arial"/>
      <w:b/>
      <w:bCs/>
      <w:color w:val="000000"/>
      <w:sz w:val="18"/>
      <w:szCs w:val="18"/>
      <w:lang w:eastAsia="en-AU"/>
    </w:rPr>
  </w:style>
  <w:style w:type="paragraph" w:customStyle="1" w:styleId="xl98">
    <w:name w:val="xl98"/>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99">
    <w:name w:val="xl99"/>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0">
    <w:name w:val="xl100"/>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1">
    <w:name w:val="xl101"/>
    <w:basedOn w:val="Normal"/>
    <w:rsid w:val="0082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2">
    <w:name w:val="xl102"/>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3">
    <w:name w:val="xl103"/>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4">
    <w:name w:val="xl104"/>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5">
    <w:name w:val="xl105"/>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6">
    <w:name w:val="xl106"/>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7">
    <w:name w:val="xl107"/>
    <w:basedOn w:val="Normal"/>
    <w:rsid w:val="0082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08">
    <w:name w:val="xl108"/>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09">
    <w:name w:val="xl109"/>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0">
    <w:name w:val="xl110"/>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1">
    <w:name w:val="xl111"/>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2">
    <w:name w:val="xl112"/>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3">
    <w:name w:val="xl113"/>
    <w:basedOn w:val="Normal"/>
    <w:rsid w:val="008268EB"/>
    <w:pPr>
      <w:pBdr>
        <w:top w:val="single" w:sz="4" w:space="0" w:color="FFFFFF"/>
        <w:bottom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4">
    <w:name w:val="xl114"/>
    <w:basedOn w:val="Normal"/>
    <w:rsid w:val="008268E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5">
    <w:name w:val="xl115"/>
    <w:basedOn w:val="Normal"/>
    <w:rsid w:val="008268EB"/>
    <w:pPr>
      <w:pBdr>
        <w:top w:val="single" w:sz="4" w:space="0" w:color="FFFFFF"/>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i/>
      <w:iCs/>
      <w:color w:val="000000"/>
      <w:sz w:val="18"/>
      <w:szCs w:val="18"/>
      <w:lang w:eastAsia="en-AU"/>
    </w:rPr>
  </w:style>
  <w:style w:type="paragraph" w:customStyle="1" w:styleId="xl116">
    <w:name w:val="xl116"/>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7">
    <w:name w:val="xl117"/>
    <w:basedOn w:val="Normal"/>
    <w:rsid w:val="008268E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8">
    <w:name w:val="xl118"/>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19">
    <w:name w:val="xl119"/>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0">
    <w:name w:val="xl120"/>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1">
    <w:name w:val="xl121"/>
    <w:basedOn w:val="Normal"/>
    <w:rsid w:val="008268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2">
    <w:name w:val="xl122"/>
    <w:basedOn w:val="Normal"/>
    <w:rsid w:val="008268EB"/>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3">
    <w:name w:val="xl123"/>
    <w:basedOn w:val="Normal"/>
    <w:rsid w:val="008268EB"/>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4">
    <w:name w:val="xl124"/>
    <w:basedOn w:val="Normal"/>
    <w:rsid w:val="008268EB"/>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5">
    <w:name w:val="xl125"/>
    <w:basedOn w:val="Normal"/>
    <w:rsid w:val="008268EB"/>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6">
    <w:name w:val="xl126"/>
    <w:basedOn w:val="Normal"/>
    <w:rsid w:val="008268EB"/>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7">
    <w:name w:val="xl127"/>
    <w:basedOn w:val="Normal"/>
    <w:rsid w:val="008268EB"/>
    <w:pPr>
      <w:pBdr>
        <w:top w:val="single" w:sz="4" w:space="0" w:color="auto"/>
        <w:left w:val="single" w:sz="4" w:space="0" w:color="auto"/>
        <w:bottom w:val="single" w:sz="4" w:space="0" w:color="auto"/>
        <w:right w:val="single" w:sz="4" w:space="0" w:color="auto"/>
      </w:pBdr>
      <w:shd w:val="clear" w:color="BDD7EE" w:fill="BDD7EE"/>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8">
    <w:name w:val="xl128"/>
    <w:basedOn w:val="Normal"/>
    <w:rsid w:val="008268E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29">
    <w:name w:val="xl129"/>
    <w:basedOn w:val="Normal"/>
    <w:rsid w:val="008268EB"/>
    <w:pPr>
      <w:pBdr>
        <w:top w:val="single" w:sz="4" w:space="0" w:color="FFFFFF"/>
        <w:left w:val="single" w:sz="4" w:space="0" w:color="D9D9D9"/>
        <w:bottom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0">
    <w:name w:val="xl130"/>
    <w:basedOn w:val="Normal"/>
    <w:rsid w:val="008268EB"/>
    <w:pPr>
      <w:pBdr>
        <w:top w:val="single" w:sz="4" w:space="0" w:color="FFFFFF"/>
        <w:left w:val="single" w:sz="4" w:space="0" w:color="D9D9D9"/>
        <w:right w:val="single" w:sz="4" w:space="0" w:color="FFFFFF"/>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1">
    <w:name w:val="xl131"/>
    <w:basedOn w:val="Normal"/>
    <w:rsid w:val="008268E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2">
    <w:name w:val="xl132"/>
    <w:basedOn w:val="Normal"/>
    <w:rsid w:val="008268EB"/>
    <w:pPr>
      <w:pBdr>
        <w:top w:val="single" w:sz="4" w:space="0" w:color="FFFFFF"/>
        <w:left w:val="single" w:sz="4" w:space="0" w:color="D9D9D9"/>
        <w:bottom w:val="single" w:sz="4" w:space="0" w:color="D9D9D9"/>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3">
    <w:name w:val="xl133"/>
    <w:basedOn w:val="Normal"/>
    <w:rsid w:val="008268EB"/>
    <w:pPr>
      <w:pBdr>
        <w:top w:val="single" w:sz="4" w:space="0" w:color="FFFFFF"/>
        <w:left w:val="single" w:sz="4" w:space="0" w:color="D9D9D9"/>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en-AU"/>
    </w:rPr>
  </w:style>
  <w:style w:type="paragraph" w:customStyle="1" w:styleId="xl134">
    <w:name w:val="xl134"/>
    <w:basedOn w:val="Normal"/>
    <w:rsid w:val="008268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n-AU"/>
    </w:rPr>
  </w:style>
  <w:style w:type="numbering" w:customStyle="1" w:styleId="Appendix1">
    <w:name w:val="Appendix1"/>
    <w:uiPriority w:val="99"/>
    <w:rsid w:val="008268EB"/>
    <w:pPr>
      <w:numPr>
        <w:numId w:val="30"/>
      </w:numPr>
    </w:pPr>
  </w:style>
  <w:style w:type="table" w:styleId="GridTable1Light">
    <w:name w:val="Grid Table 1 Light"/>
    <w:basedOn w:val="TableNormal"/>
    <w:uiPriority w:val="46"/>
    <w:rsid w:val="008268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7">
    <w:name w:val="font7"/>
    <w:basedOn w:val="Normal"/>
    <w:rsid w:val="008268EB"/>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8">
    <w:name w:val="font8"/>
    <w:basedOn w:val="Normal"/>
    <w:rsid w:val="008268EB"/>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DSEBody">
    <w:name w:val="DSE_Body"/>
    <w:rsid w:val="008268EB"/>
    <w:pPr>
      <w:spacing w:after="113" w:line="240" w:lineRule="atLeast"/>
      <w:jc w:val="both"/>
    </w:pPr>
    <w:rPr>
      <w:rFonts w:ascii="Arial" w:eastAsia="Times New Roman" w:hAnsi="Arial" w:cs="Arial"/>
      <w:sz w:val="18"/>
      <w:szCs w:val="24"/>
    </w:rPr>
  </w:style>
  <w:style w:type="character" w:customStyle="1" w:styleId="UnresolvedMention2">
    <w:name w:val="Unresolved Mention2"/>
    <w:basedOn w:val="DefaultParagraphFont"/>
    <w:uiPriority w:val="99"/>
    <w:semiHidden/>
    <w:unhideWhenUsed/>
    <w:rsid w:val="008268EB"/>
    <w:rPr>
      <w:color w:val="605E5C"/>
      <w:shd w:val="clear" w:color="auto" w:fill="E1DFDD"/>
    </w:rPr>
  </w:style>
  <w:style w:type="character" w:styleId="UnresolvedMention">
    <w:name w:val="Unresolved Mention"/>
    <w:basedOn w:val="DefaultParagraphFont"/>
    <w:uiPriority w:val="99"/>
    <w:semiHidden/>
    <w:unhideWhenUsed/>
    <w:rsid w:val="008268EB"/>
    <w:rPr>
      <w:color w:val="605E5C"/>
      <w:shd w:val="clear" w:color="auto" w:fill="E1DFDD"/>
    </w:rPr>
  </w:style>
  <w:style w:type="character" w:customStyle="1" w:styleId="attention2">
    <w:name w:val="attention2"/>
    <w:basedOn w:val="DefaultParagraphFont"/>
    <w:rsid w:val="008268EB"/>
    <w:rPr>
      <w:color w:val="C0504D"/>
    </w:rPr>
  </w:style>
  <w:style w:type="character" w:customStyle="1" w:styleId="UnresolvedMention3">
    <w:name w:val="Unresolved Mention3"/>
    <w:basedOn w:val="DefaultParagraphFont"/>
    <w:uiPriority w:val="99"/>
    <w:semiHidden/>
    <w:unhideWhenUsed/>
    <w:rsid w:val="008268EB"/>
    <w:rPr>
      <w:color w:val="605E5C"/>
      <w:shd w:val="clear" w:color="auto" w:fill="E1DFDD"/>
    </w:rPr>
  </w:style>
  <w:style w:type="paragraph" w:customStyle="1" w:styleId="xReferencelist">
    <w:name w:val="xReference list"/>
    <w:basedOn w:val="Normal"/>
    <w:qFormat/>
    <w:rsid w:val="008268EB"/>
    <w:pPr>
      <w:spacing w:after="80"/>
      <w:ind w:left="720" w:hanging="720"/>
    </w:pPr>
    <w:rPr>
      <w:rFonts w:ascii="Segoe UI" w:hAnsi="Segoe UI"/>
    </w:rPr>
  </w:style>
  <w:style w:type="paragraph" w:customStyle="1" w:styleId="xFootnotes">
    <w:name w:val="xFootnotes"/>
    <w:basedOn w:val="FootnoteText"/>
    <w:qFormat/>
    <w:rsid w:val="008268EB"/>
    <w:pPr>
      <w:ind w:left="340" w:hanging="340"/>
    </w:pPr>
    <w:rPr>
      <w:szCs w:val="18"/>
    </w:rPr>
  </w:style>
  <w:style w:type="paragraph" w:customStyle="1" w:styleId="xBodytext">
    <w:name w:val="xBody text"/>
    <w:qFormat/>
    <w:rsid w:val="008268EB"/>
    <w:pPr>
      <w:jc w:val="both"/>
    </w:pPr>
    <w:rPr>
      <w:rFonts w:ascii="Segoe UI" w:hAnsi="Segoe UI" w:cs="Segoe UI"/>
    </w:rPr>
  </w:style>
  <w:style w:type="paragraph" w:customStyle="1" w:styleId="xNumberedlista">
    <w:name w:val="xNumbered list (a)"/>
    <w:basedOn w:val="ListParagraph"/>
    <w:qFormat/>
    <w:rsid w:val="008268EB"/>
    <w:pPr>
      <w:numPr>
        <w:numId w:val="25"/>
      </w:numPr>
      <w:spacing w:before="0" w:after="160" w:line="259" w:lineRule="auto"/>
      <w:jc w:val="both"/>
    </w:pPr>
  </w:style>
  <w:style w:type="paragraph" w:customStyle="1" w:styleId="xBulletedlist">
    <w:name w:val="xBulleted list"/>
    <w:basedOn w:val="ListParagraph"/>
    <w:qFormat/>
    <w:rsid w:val="008268EB"/>
    <w:pPr>
      <w:numPr>
        <w:numId w:val="26"/>
      </w:numPr>
      <w:spacing w:before="0" w:after="160" w:line="259" w:lineRule="auto"/>
    </w:pPr>
  </w:style>
  <w:style w:type="paragraph" w:customStyle="1" w:styleId="xBulletedlistLevel2">
    <w:name w:val="xBulleted list Level 2"/>
    <w:basedOn w:val="ListParagraph"/>
    <w:qFormat/>
    <w:rsid w:val="008268EB"/>
    <w:pPr>
      <w:spacing w:before="0" w:after="160" w:line="259" w:lineRule="auto"/>
      <w:ind w:left="1440" w:hanging="360"/>
    </w:pPr>
  </w:style>
  <w:style w:type="paragraph" w:customStyle="1" w:styleId="xTabletextLeft">
    <w:name w:val="xTable text Left"/>
    <w:basedOn w:val="Normal"/>
    <w:qFormat/>
    <w:rsid w:val="008268EB"/>
    <w:pPr>
      <w:spacing w:before="20" w:after="0" w:line="240" w:lineRule="auto"/>
    </w:pPr>
    <w:rPr>
      <w:rFonts w:ascii="Segoe UI" w:eastAsia="Calibri" w:hAnsi="Segoe UI" w:cs="Calibri"/>
      <w:sz w:val="19"/>
      <w:szCs w:val="19"/>
      <w:lang w:eastAsia="en-AU"/>
    </w:rPr>
  </w:style>
  <w:style w:type="paragraph" w:customStyle="1" w:styleId="xTabletextRight">
    <w:name w:val="xTable text Right"/>
    <w:basedOn w:val="Normal"/>
    <w:qFormat/>
    <w:rsid w:val="008268EB"/>
    <w:pPr>
      <w:spacing w:before="20" w:after="0" w:line="240" w:lineRule="auto"/>
      <w:jc w:val="right"/>
    </w:pPr>
    <w:rPr>
      <w:rFonts w:ascii="Segoe UI" w:eastAsia="Calibri" w:hAnsi="Segoe UI" w:cs="Calibri"/>
      <w:color w:val="000000"/>
      <w:sz w:val="19"/>
      <w:szCs w:val="19"/>
      <w:lang w:eastAsia="en-AU"/>
    </w:rPr>
  </w:style>
  <w:style w:type="paragraph" w:customStyle="1" w:styleId="xTableheadingleft">
    <w:name w:val="xTable heading left"/>
    <w:rsid w:val="008268EB"/>
    <w:pPr>
      <w:spacing w:after="0"/>
    </w:pPr>
    <w:rPr>
      <w:rFonts w:ascii="Segoe UI" w:hAnsi="Segoe UI" w:cs="Segoe UI"/>
      <w:b/>
      <w:bCs/>
      <w:sz w:val="19"/>
      <w:szCs w:val="19"/>
      <w:lang w:eastAsia="en-AU"/>
    </w:rPr>
  </w:style>
  <w:style w:type="paragraph" w:customStyle="1" w:styleId="xTableorfiguresource">
    <w:name w:val="xTable or figure source"/>
    <w:qFormat/>
    <w:rsid w:val="008268EB"/>
    <w:pPr>
      <w:spacing w:before="80"/>
    </w:pPr>
    <w:rPr>
      <w:rFonts w:ascii="Segoe UI" w:eastAsia="STZhongsong" w:hAnsi="Segoe UI" w:cs="Segoe UI"/>
      <w:bCs/>
      <w:sz w:val="18"/>
      <w:szCs w:val="18"/>
      <w:lang w:eastAsia="ko-KR"/>
    </w:rPr>
  </w:style>
  <w:style w:type="paragraph" w:customStyle="1" w:styleId="xBodytextindented">
    <w:name w:val="xBody text indented"/>
    <w:basedOn w:val="ListParagraph"/>
    <w:rsid w:val="008268EB"/>
    <w:pPr>
      <w:contextualSpacing w:val="0"/>
      <w:jc w:val="both"/>
    </w:pPr>
  </w:style>
  <w:style w:type="paragraph" w:customStyle="1" w:styleId="xQuote">
    <w:name w:val="xQuote"/>
    <w:basedOn w:val="Normal"/>
    <w:qFormat/>
    <w:rsid w:val="008268EB"/>
    <w:pPr>
      <w:spacing w:line="250" w:lineRule="auto"/>
      <w:ind w:left="794" w:right="794"/>
      <w:jc w:val="both"/>
    </w:pPr>
    <w:rPr>
      <w:rFonts w:ascii="Segoe UI" w:hAnsi="Segoe UI" w:cs="Segoe UI"/>
      <w:iCs/>
      <w:sz w:val="20"/>
      <w:szCs w:val="14"/>
    </w:rPr>
  </w:style>
  <w:style w:type="paragraph" w:customStyle="1" w:styleId="xNumberedlist1">
    <w:name w:val="xNumbered list (1)"/>
    <w:basedOn w:val="ListParagraph"/>
    <w:qFormat/>
    <w:rsid w:val="008268EB"/>
    <w:pPr>
      <w:tabs>
        <w:tab w:val="num" w:pos="360"/>
      </w:tabs>
      <w:spacing w:line="259" w:lineRule="auto"/>
      <w:ind w:hanging="360"/>
    </w:pPr>
  </w:style>
  <w:style w:type="paragraph" w:customStyle="1" w:styleId="xQuoteindent">
    <w:name w:val="xQuote indent"/>
    <w:basedOn w:val="xQuote"/>
    <w:rsid w:val="008268EB"/>
    <w:pPr>
      <w:ind w:left="1440"/>
    </w:pPr>
  </w:style>
  <w:style w:type="paragraph" w:customStyle="1" w:styleId="xNumberedlisti">
    <w:name w:val="xNumbered list (i)"/>
    <w:basedOn w:val="Normal"/>
    <w:rsid w:val="008268EB"/>
    <w:pPr>
      <w:ind w:left="714" w:hanging="357"/>
      <w:contextualSpacing/>
    </w:pPr>
    <w:rPr>
      <w:rFonts w:ascii="Segoe UI" w:eastAsia="Gill Sans MT" w:hAnsi="Segoe UI" w:cs="Majalla UI"/>
    </w:rPr>
  </w:style>
  <w:style w:type="paragraph" w:customStyle="1" w:styleId="xTableorfigurenote">
    <w:name w:val="xTable or figure note"/>
    <w:basedOn w:val="xTableorfiguresource"/>
    <w:rsid w:val="008268EB"/>
    <w:pPr>
      <w:tabs>
        <w:tab w:val="left" w:pos="426"/>
      </w:tabs>
      <w:contextualSpacing/>
    </w:pPr>
  </w:style>
  <w:style w:type="paragraph" w:customStyle="1" w:styleId="definition">
    <w:name w:val="definition"/>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a">
    <w:name w:val="indenta"/>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ii">
    <w:name w:val="indentii"/>
    <w:basedOn w:val="Normal"/>
    <w:rsid w:val="008268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5">
    <w:name w:val="toc 5"/>
    <w:basedOn w:val="Normal"/>
    <w:next w:val="Normal"/>
    <w:autoRedefine/>
    <w:uiPriority w:val="39"/>
    <w:unhideWhenUsed/>
    <w:rsid w:val="008268EB"/>
    <w:pPr>
      <w:spacing w:after="100"/>
      <w:ind w:left="880"/>
    </w:pPr>
    <w:rPr>
      <w:rFonts w:ascii="Segoe UI" w:hAnsi="Segoe UI" w:cs="Segoe UI"/>
    </w:rPr>
  </w:style>
  <w:style w:type="paragraph" w:styleId="TOC8">
    <w:name w:val="toc 8"/>
    <w:basedOn w:val="Normal"/>
    <w:next w:val="Normal"/>
    <w:autoRedefine/>
    <w:uiPriority w:val="39"/>
    <w:unhideWhenUsed/>
    <w:rsid w:val="008268EB"/>
    <w:pPr>
      <w:spacing w:after="100"/>
      <w:ind w:left="1540"/>
    </w:pPr>
    <w:rPr>
      <w:rFonts w:eastAsiaTheme="minorEastAsia"/>
      <w:lang w:eastAsia="en-AU"/>
    </w:rPr>
  </w:style>
  <w:style w:type="paragraph" w:styleId="TOC9">
    <w:name w:val="toc 9"/>
    <w:basedOn w:val="Normal"/>
    <w:next w:val="Normal"/>
    <w:autoRedefine/>
    <w:uiPriority w:val="39"/>
    <w:unhideWhenUsed/>
    <w:rsid w:val="008268EB"/>
    <w:pPr>
      <w:spacing w:after="100"/>
      <w:ind w:left="1760"/>
    </w:pPr>
    <w:rPr>
      <w:rFonts w:eastAsiaTheme="minorEastAsia"/>
      <w:lang w:eastAsia="en-AU"/>
    </w:rPr>
  </w:style>
  <w:style w:type="paragraph" w:customStyle="1" w:styleId="xQuotebullet">
    <w:name w:val="xQuote bullet"/>
    <w:basedOn w:val="xQuoteindent"/>
    <w:rsid w:val="008268EB"/>
    <w:pPr>
      <w:numPr>
        <w:numId w:val="13"/>
      </w:numPr>
    </w:pPr>
  </w:style>
  <w:style w:type="paragraph" w:customStyle="1" w:styleId="xTableheadingcentre">
    <w:name w:val="xTable heading centre"/>
    <w:rsid w:val="008268EB"/>
    <w:pPr>
      <w:spacing w:after="0"/>
      <w:jc w:val="center"/>
    </w:pPr>
    <w:rPr>
      <w:rFonts w:ascii="Segoe UI" w:hAnsi="Segoe UI" w:cs="Segoe UI"/>
      <w:b/>
      <w:bCs/>
      <w:sz w:val="19"/>
      <w:szCs w:val="19"/>
    </w:rPr>
  </w:style>
  <w:style w:type="paragraph" w:customStyle="1" w:styleId="xTabletextCentre">
    <w:name w:val="xTable text Centre"/>
    <w:basedOn w:val="xTabletextLeft"/>
    <w:rsid w:val="008268EB"/>
    <w:pPr>
      <w:spacing w:before="0"/>
      <w:jc w:val="center"/>
    </w:pPr>
  </w:style>
  <w:style w:type="paragraph" w:customStyle="1" w:styleId="xTabletextLeft2">
    <w:name w:val="xTable text Left 2"/>
    <w:basedOn w:val="xTabletextLeft"/>
    <w:rsid w:val="008268EB"/>
    <w:pPr>
      <w:ind w:left="284"/>
    </w:pPr>
  </w:style>
  <w:style w:type="paragraph" w:customStyle="1" w:styleId="xTablebullets">
    <w:name w:val="xTable bullets"/>
    <w:basedOn w:val="xTabletextLeft"/>
    <w:rsid w:val="008268EB"/>
    <w:pPr>
      <w:ind w:left="2148" w:hanging="360"/>
    </w:pPr>
  </w:style>
  <w:style w:type="paragraph" w:customStyle="1" w:styleId="xTabletexthanging">
    <w:name w:val="xTable text hanging"/>
    <w:basedOn w:val="xTabletextLeft"/>
    <w:rsid w:val="008268EB"/>
    <w:pPr>
      <w:spacing w:before="0" w:after="80"/>
      <w:ind w:left="318" w:hanging="318"/>
    </w:pPr>
  </w:style>
  <w:style w:type="character" w:customStyle="1" w:styleId="xsuperscript">
    <w:name w:val="xsuperscript"/>
    <w:basedOn w:val="Bold"/>
    <w:uiPriority w:val="1"/>
    <w:rsid w:val="008268EB"/>
    <w:rPr>
      <w:b w:val="0"/>
      <w:vertAlign w:val="superscript"/>
    </w:rPr>
  </w:style>
  <w:style w:type="paragraph" w:customStyle="1" w:styleId="xTablebulletsindent">
    <w:name w:val="xTable bullets indent"/>
    <w:basedOn w:val="xTablebullets"/>
    <w:rsid w:val="008268EB"/>
    <w:pPr>
      <w:ind w:left="697"/>
    </w:pPr>
  </w:style>
  <w:style w:type="character" w:customStyle="1" w:styleId="notbold">
    <w:name w:val="not bold"/>
    <w:basedOn w:val="Bold"/>
    <w:uiPriority w:val="1"/>
    <w:rsid w:val="008268EB"/>
    <w:rPr>
      <w:b w:val="0"/>
      <w:color w:val="000000"/>
    </w:rPr>
  </w:style>
  <w:style w:type="paragraph" w:customStyle="1" w:styleId="xTablebullets2">
    <w:name w:val="xTable bullets 2"/>
    <w:basedOn w:val="xTablebullets"/>
    <w:rsid w:val="008268EB"/>
    <w:pPr>
      <w:ind w:left="616" w:hanging="284"/>
    </w:pPr>
  </w:style>
  <w:style w:type="paragraph" w:customStyle="1" w:styleId="xTabletextindent">
    <w:name w:val="xTable text indent"/>
    <w:basedOn w:val="xTabletextLeft"/>
    <w:rsid w:val="008268EB"/>
  </w:style>
  <w:style w:type="numbering" w:customStyle="1" w:styleId="NoList4">
    <w:name w:val="No List4"/>
    <w:next w:val="NoList"/>
    <w:uiPriority w:val="99"/>
    <w:semiHidden/>
    <w:unhideWhenUsed/>
    <w:rsid w:val="008268EB"/>
  </w:style>
  <w:style w:type="paragraph" w:styleId="Bibliography">
    <w:name w:val="Bibliography"/>
    <w:basedOn w:val="Normal"/>
    <w:next w:val="Normal"/>
    <w:uiPriority w:val="37"/>
    <w:unhideWhenUsed/>
    <w:rsid w:val="008268EB"/>
    <w:rPr>
      <w:rFonts w:ascii="Segoe UI" w:hAnsi="Segoe UI" w:cs="Segoe UI"/>
    </w:rPr>
  </w:style>
  <w:style w:type="paragraph" w:customStyle="1" w:styleId="xAcronymslist">
    <w:name w:val="xAcronyms list"/>
    <w:rsid w:val="008268EB"/>
    <w:pPr>
      <w:spacing w:after="0"/>
    </w:pPr>
    <w:rPr>
      <w:rFonts w:ascii="Segoe UI" w:hAnsi="Segoe UI" w:cs="Segoe UI"/>
      <w:color w:val="000000"/>
      <w:szCs w:val="19"/>
      <w:lang w:eastAsia="en-AU"/>
    </w:rPr>
  </w:style>
  <w:style w:type="character" w:customStyle="1" w:styleId="xTablenotesuperscript">
    <w:name w:val="xTable note (superscript)"/>
    <w:basedOn w:val="DefaultParagraphFont"/>
    <w:uiPriority w:val="1"/>
    <w:qFormat/>
    <w:rsid w:val="008268EB"/>
    <w:rPr>
      <w:position w:val="8"/>
    </w:rPr>
  </w:style>
  <w:style w:type="table" w:customStyle="1" w:styleId="dpitablestyle">
    <w:name w:val="dpi table style"/>
    <w:basedOn w:val="TableGrid"/>
    <w:uiPriority w:val="99"/>
    <w:rsid w:val="008268EB"/>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icrosoft JhengHei UI Light" w:hAnsi="Microsoft JhengHei UI Light"/>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1">
    <w:name w:val="dpi table style1"/>
    <w:basedOn w:val="TableGrid"/>
    <w:uiPriority w:val="99"/>
    <w:rsid w:val="008268EB"/>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table" w:customStyle="1" w:styleId="dpitablestyle2">
    <w:name w:val="dpi table style2"/>
    <w:basedOn w:val="TableGrid"/>
    <w:uiPriority w:val="99"/>
    <w:rsid w:val="008268EB"/>
    <w:pPr>
      <w:spacing w:before="20" w:after="20" w:line="240" w:lineRule="atLeast"/>
    </w:pPr>
    <w:rPr>
      <w:rFonts w:ascii="Segoe UI Semibold" w:hAnsi="Segoe UI Semibold"/>
      <w:color w:val="000000"/>
      <w:sz w:val="20"/>
    </w:rPr>
    <w:tblPr>
      <w:tblStyleRowBandSize w:val="1"/>
      <w:tblStyleColBandSize w:val="1"/>
      <w:tblBorders>
        <w:top w:val="none" w:sz="0" w:space="0" w:color="auto"/>
        <w:left w:val="none" w:sz="0" w:space="0" w:color="auto"/>
        <w:bottom w:val="single" w:sz="4" w:space="0" w:color="000000"/>
        <w:right w:val="none" w:sz="0" w:space="0" w:color="auto"/>
        <w:insideH w:val="single" w:sz="4" w:space="0" w:color="000000"/>
        <w:insideV w:val="none" w:sz="0" w:space="0" w:color="auto"/>
      </w:tblBorders>
      <w:tblCellMar>
        <w:top w:w="85" w:type="dxa"/>
        <w:bottom w:w="85" w:type="dxa"/>
      </w:tblCellMar>
    </w:tblPr>
    <w:tcPr>
      <w:noWrap/>
      <w:tcMar>
        <w:top w:w="57" w:type="dxa"/>
        <w:bottom w:w="57" w:type="dxa"/>
      </w:tcMar>
    </w:tcPr>
    <w:tblStylePr w:type="firstRow">
      <w:pPr>
        <w:wordWrap/>
        <w:spacing w:beforeLines="0" w:before="20" w:beforeAutospacing="0" w:afterLines="0" w:after="20" w:afterAutospacing="0" w:line="240" w:lineRule="atLeast"/>
      </w:pPr>
      <w:rPr>
        <w:rFonts w:ascii="MV Boli" w:hAnsi="MV Boli"/>
        <w:b/>
        <w:i w:val="0"/>
        <w:color w:val="000000"/>
        <w:sz w:val="20"/>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EFE1"/>
      </w:tcPr>
    </w:tblStylePr>
    <w:tblStylePr w:type="lastRow">
      <w:tblPr/>
      <w:tcPr>
        <w:tcBorders>
          <w:bottom w:val="nil"/>
        </w:tcBorders>
      </w:tcPr>
    </w:tblStylePr>
    <w:tblStylePr w:type="band2Vert">
      <w:tblPr/>
      <w:tcPr>
        <w:tcBorders>
          <w:left w:val="nil"/>
        </w:tcBorders>
      </w:tcPr>
    </w:tblStylePr>
    <w:tblStylePr w:type="band1Horz">
      <w:tblPr/>
      <w:tcPr>
        <w:tcBorders>
          <w:bottom w:val="nil"/>
        </w:tcBorders>
      </w:tcPr>
    </w:tblStylePr>
    <w:tblStylePr w:type="band2Horz">
      <w:tblPr/>
      <w:tcPr>
        <w:tcBorders>
          <w:left w:val="nil"/>
          <w:bottom w:val="single" w:sz="4" w:space="0" w:color="000000"/>
        </w:tcBorders>
      </w:tcPr>
    </w:tblStylePr>
  </w:style>
  <w:style w:type="paragraph" w:customStyle="1" w:styleId="xxxmsolistparagraph">
    <w:name w:val="x_x_x_msolistparagraph"/>
    <w:basedOn w:val="Normal"/>
    <w:rsid w:val="008268EB"/>
    <w:pPr>
      <w:spacing w:after="0" w:line="240" w:lineRule="auto"/>
      <w:ind w:left="720"/>
    </w:pPr>
    <w:rPr>
      <w:rFonts w:ascii="Calibri" w:hAnsi="Calibri" w:cs="Calibri"/>
      <w:lang w:eastAsia="en-AU"/>
    </w:rPr>
  </w:style>
  <w:style w:type="paragraph" w:customStyle="1" w:styleId="Indent15">
    <w:name w:val="Indent 1.5"/>
    <w:basedOn w:val="Normal"/>
    <w:rsid w:val="008268EB"/>
    <w:pPr>
      <w:keepLines/>
      <w:spacing w:before="240" w:after="0" w:line="240" w:lineRule="auto"/>
      <w:jc w:val="both"/>
    </w:pPr>
    <w:rPr>
      <w:rFonts w:ascii="Times New Roman" w:eastAsia="Times New Roman" w:hAnsi="Times New Roman" w:cs="Times New Roman"/>
      <w:sz w:val="24"/>
      <w:szCs w:val="20"/>
      <w:lang w:eastAsia="en-AU"/>
    </w:rPr>
  </w:style>
  <w:style w:type="paragraph" w:customStyle="1" w:styleId="Indent25">
    <w:name w:val="Indent 2.5"/>
    <w:basedOn w:val="Indent15"/>
    <w:rsid w:val="008268EB"/>
    <w:pPr>
      <w:ind w:left="1418" w:hanging="568"/>
    </w:pPr>
  </w:style>
  <w:style w:type="paragraph" w:customStyle="1" w:styleId="level2indent">
    <w:name w:val="level 2 indent"/>
    <w:basedOn w:val="Normal"/>
    <w:rsid w:val="008268EB"/>
    <w:pPr>
      <w:spacing w:after="0" w:line="240" w:lineRule="auto"/>
      <w:ind w:left="2160" w:hanging="720"/>
      <w:jc w:val="both"/>
    </w:pPr>
    <w:rPr>
      <w:rFonts w:ascii="Times New Roman" w:eastAsia="Times New Roman" w:hAnsi="Times New Roman" w:cs="Times New Roman"/>
      <w:szCs w:val="20"/>
      <w:lang w:eastAsia="en-AU"/>
    </w:rPr>
  </w:style>
  <w:style w:type="paragraph" w:customStyle="1" w:styleId="Def">
    <w:name w:val="Def"/>
    <w:basedOn w:val="Indent35"/>
    <w:rsid w:val="008268EB"/>
    <w:pPr>
      <w:ind w:left="709" w:firstLine="0"/>
    </w:pPr>
  </w:style>
  <w:style w:type="paragraph" w:customStyle="1" w:styleId="Indent35">
    <w:name w:val="Indent 3.5"/>
    <w:basedOn w:val="Indent25"/>
    <w:rsid w:val="008268EB"/>
    <w:pPr>
      <w:ind w:left="1985"/>
    </w:pPr>
  </w:style>
  <w:style w:type="paragraph" w:customStyle="1" w:styleId="level1indent">
    <w:name w:val="level 1 indent"/>
    <w:basedOn w:val="Normal"/>
    <w:rsid w:val="008268EB"/>
    <w:pPr>
      <w:spacing w:after="0" w:line="240" w:lineRule="auto"/>
      <w:ind w:left="1440" w:hanging="720"/>
      <w:jc w:val="both"/>
    </w:pPr>
    <w:rPr>
      <w:rFonts w:ascii="Times New Roman" w:eastAsia="Times New Roman" w:hAnsi="Times New Roman" w:cs="Times New Roman"/>
      <w:szCs w:val="20"/>
      <w:lang w:eastAsia="en-AU"/>
    </w:rPr>
  </w:style>
  <w:style w:type="paragraph" w:customStyle="1" w:styleId="standardunumberedpara">
    <w:name w:val="standard unumbered para"/>
    <w:basedOn w:val="StandardPara"/>
    <w:rsid w:val="008268EB"/>
  </w:style>
  <w:style w:type="paragraph" w:customStyle="1" w:styleId="StandardPara">
    <w:name w:val="Standard Para"/>
    <w:basedOn w:val="Normal"/>
    <w:rsid w:val="008268EB"/>
    <w:pPr>
      <w:spacing w:after="0" w:line="240" w:lineRule="auto"/>
      <w:ind w:left="567" w:hanging="567"/>
    </w:pPr>
    <w:rPr>
      <w:rFonts w:ascii="Times New Roman" w:eastAsia="Times New Roman" w:hAnsi="Times New Roman" w:cs="Times New Roman"/>
      <w:szCs w:val="20"/>
      <w:lang w:eastAsia="en-AU"/>
    </w:rPr>
  </w:style>
  <w:style w:type="paragraph" w:customStyle="1" w:styleId="level3indent">
    <w:name w:val="level 3 indent"/>
    <w:basedOn w:val="Normal"/>
    <w:rsid w:val="008268EB"/>
    <w:pPr>
      <w:spacing w:after="0" w:line="240" w:lineRule="auto"/>
      <w:ind w:left="2880" w:hanging="720"/>
      <w:jc w:val="both"/>
    </w:pPr>
    <w:rPr>
      <w:rFonts w:ascii="Times New Roman" w:eastAsia="Times New Roman" w:hAnsi="Times New Roman" w:cs="Times New Roman"/>
      <w:szCs w:val="20"/>
      <w:lang w:eastAsia="en-AU"/>
    </w:rPr>
  </w:style>
  <w:style w:type="paragraph" w:customStyle="1" w:styleId="P1">
    <w:name w:val="P1"/>
    <w:aliases w:val="(a)"/>
    <w:basedOn w:val="Normal"/>
    <w:rsid w:val="008268EB"/>
    <w:pPr>
      <w:keepNext/>
      <w:keepLines/>
      <w:tabs>
        <w:tab w:val="right" w:pos="1276"/>
      </w:tabs>
      <w:spacing w:before="40" w:after="0" w:line="260" w:lineRule="atLeast"/>
      <w:ind w:left="1560" w:hanging="1422"/>
      <w:jc w:val="both"/>
    </w:pPr>
    <w:rPr>
      <w:rFonts w:ascii="Times" w:eastAsia="Times New Roman" w:hAnsi="Times" w:cs="Times New Roman"/>
      <w:sz w:val="24"/>
      <w:szCs w:val="20"/>
      <w:lang w:eastAsia="en-AU"/>
    </w:rPr>
  </w:style>
  <w:style w:type="paragraph" w:customStyle="1" w:styleId="HR">
    <w:name w:val="HR"/>
    <w:aliases w:val="Regulation Heading"/>
    <w:basedOn w:val="Normal"/>
    <w:next w:val="R1"/>
    <w:rsid w:val="008268EB"/>
    <w:pPr>
      <w:keepNext/>
      <w:tabs>
        <w:tab w:val="left" w:pos="964"/>
      </w:tabs>
      <w:spacing w:before="360" w:after="0" w:line="240" w:lineRule="auto"/>
      <w:ind w:left="567" w:hanging="567"/>
    </w:pPr>
    <w:rPr>
      <w:rFonts w:ascii="Helvetica" w:eastAsia="Times New Roman" w:hAnsi="Helvetica" w:cs="Times New Roman"/>
      <w:b/>
      <w:sz w:val="24"/>
      <w:szCs w:val="20"/>
      <w:lang w:eastAsia="en-AU"/>
    </w:rPr>
  </w:style>
  <w:style w:type="paragraph" w:customStyle="1" w:styleId="R1">
    <w:name w:val="R1"/>
    <w:aliases w:val="1. or 1.(1)"/>
    <w:basedOn w:val="Normal"/>
    <w:next w:val="P1"/>
    <w:rsid w:val="008268EB"/>
    <w:pPr>
      <w:tabs>
        <w:tab w:val="right" w:pos="794"/>
        <w:tab w:val="left" w:pos="964"/>
      </w:tabs>
      <w:spacing w:before="120" w:after="0" w:line="260" w:lineRule="exact"/>
      <w:ind w:left="964" w:hanging="964"/>
      <w:jc w:val="both"/>
    </w:pPr>
    <w:rPr>
      <w:rFonts w:ascii="Times" w:eastAsia="Times New Roman" w:hAnsi="Times" w:cs="Times New Roman"/>
      <w:sz w:val="24"/>
      <w:szCs w:val="20"/>
      <w:lang w:eastAsia="en-AU"/>
    </w:rPr>
  </w:style>
  <w:style w:type="paragraph" w:customStyle="1" w:styleId="R2">
    <w:name w:val="R2"/>
    <w:aliases w:val="(2)"/>
    <w:basedOn w:val="R1"/>
    <w:rsid w:val="008268EB"/>
    <w:pPr>
      <w:spacing w:before="180"/>
    </w:pPr>
  </w:style>
  <w:style w:type="paragraph" w:customStyle="1" w:styleId="A2">
    <w:name w:val="A2"/>
    <w:aliases w:val="1.1 amendment"/>
    <w:basedOn w:val="Normal"/>
    <w:rsid w:val="008268EB"/>
    <w:pPr>
      <w:keepNext/>
      <w:spacing w:before="40" w:after="0" w:line="260" w:lineRule="atLeast"/>
      <w:jc w:val="both"/>
    </w:pPr>
    <w:rPr>
      <w:rFonts w:ascii="Times" w:eastAsia="Times New Roman" w:hAnsi="Times" w:cs="Times New Roman"/>
      <w:sz w:val="26"/>
      <w:szCs w:val="20"/>
      <w:lang w:eastAsia="en-AU"/>
    </w:rPr>
  </w:style>
  <w:style w:type="paragraph" w:customStyle="1" w:styleId="A1">
    <w:name w:val="A1"/>
    <w:aliases w:val="1. Amendment"/>
    <w:basedOn w:val="Normal"/>
    <w:next w:val="A2"/>
    <w:rsid w:val="008268EB"/>
    <w:pPr>
      <w:keepNext/>
      <w:spacing w:before="480" w:after="0" w:line="240" w:lineRule="atLeast"/>
      <w:jc w:val="both"/>
    </w:pPr>
    <w:rPr>
      <w:rFonts w:ascii="Times" w:eastAsia="Times New Roman" w:hAnsi="Times" w:cs="Times New Roman"/>
      <w:b/>
      <w:sz w:val="26"/>
      <w:szCs w:val="20"/>
      <w:lang w:eastAsia="en-AU"/>
    </w:rPr>
  </w:style>
  <w:style w:type="paragraph" w:styleId="BodyText2">
    <w:name w:val="Body Text 2"/>
    <w:basedOn w:val="Normal"/>
    <w:link w:val="BodyText2Char"/>
    <w:semiHidden/>
    <w:rsid w:val="008268EB"/>
    <w:pPr>
      <w:spacing w:before="120" w:after="0" w:line="240" w:lineRule="auto"/>
      <w:ind w:left="709"/>
      <w:jc w:val="both"/>
    </w:pPr>
    <w:rPr>
      <w:rFonts w:ascii="Times New Roman" w:eastAsia="Times New Roman" w:hAnsi="Times New Roman" w:cs="Times New Roman"/>
      <w:szCs w:val="20"/>
      <w:lang w:eastAsia="en-AU"/>
    </w:rPr>
  </w:style>
  <w:style w:type="character" w:customStyle="1" w:styleId="BodyText2Char">
    <w:name w:val="Body Text 2 Char"/>
    <w:basedOn w:val="DefaultParagraphFont"/>
    <w:link w:val="BodyText2"/>
    <w:semiHidden/>
    <w:rsid w:val="008268EB"/>
    <w:rPr>
      <w:rFonts w:ascii="Times New Roman" w:eastAsia="Times New Roman" w:hAnsi="Times New Roman" w:cs="Times New Roman"/>
      <w:szCs w:val="20"/>
      <w:lang w:eastAsia="en-AU"/>
    </w:rPr>
  </w:style>
  <w:style w:type="paragraph" w:styleId="BodyText3">
    <w:name w:val="Body Text 3"/>
    <w:basedOn w:val="Normal"/>
    <w:link w:val="BodyText3Char"/>
    <w:semiHidden/>
    <w:rsid w:val="008268EB"/>
    <w:pPr>
      <w:spacing w:after="0" w:line="240" w:lineRule="auto"/>
    </w:pPr>
    <w:rPr>
      <w:rFonts w:ascii="Times New Roman" w:eastAsia="Times New Roman" w:hAnsi="Times New Roman" w:cs="Times New Roman"/>
      <w:sz w:val="20"/>
      <w:szCs w:val="20"/>
      <w:lang w:eastAsia="en-AU"/>
    </w:rPr>
  </w:style>
  <w:style w:type="character" w:customStyle="1" w:styleId="BodyText3Char">
    <w:name w:val="Body Text 3 Char"/>
    <w:basedOn w:val="DefaultParagraphFont"/>
    <w:link w:val="BodyText3"/>
    <w:semiHidden/>
    <w:rsid w:val="008268EB"/>
    <w:rPr>
      <w:rFonts w:ascii="Times New Roman" w:eastAsia="Times New Roman" w:hAnsi="Times New Roman" w:cs="Times New Roman"/>
      <w:sz w:val="20"/>
      <w:szCs w:val="20"/>
      <w:lang w:eastAsia="en-AU"/>
    </w:rPr>
  </w:style>
  <w:style w:type="paragraph" w:styleId="BodyTextIndent">
    <w:name w:val="Body Text Indent"/>
    <w:basedOn w:val="Normal"/>
    <w:link w:val="BodyTextIndentChar"/>
    <w:semiHidden/>
    <w:rsid w:val="008268EB"/>
    <w:pPr>
      <w:spacing w:before="120" w:after="0" w:line="240" w:lineRule="auto"/>
      <w:ind w:left="709" w:hanging="709"/>
    </w:pPr>
    <w:rPr>
      <w:rFonts w:ascii="Times New Roman" w:eastAsia="Times New Roman" w:hAnsi="Times New Roman" w:cs="Times New Roman"/>
      <w:sz w:val="24"/>
      <w:szCs w:val="20"/>
      <w:lang w:eastAsia="en-AU"/>
    </w:rPr>
  </w:style>
  <w:style w:type="character" w:customStyle="1" w:styleId="BodyTextIndentChar">
    <w:name w:val="Body Text Indent Char"/>
    <w:basedOn w:val="DefaultParagraphFont"/>
    <w:link w:val="BodyTextIndent"/>
    <w:semiHidden/>
    <w:rsid w:val="008268EB"/>
    <w:rPr>
      <w:rFonts w:ascii="Times New Roman" w:eastAsia="Times New Roman" w:hAnsi="Times New Roman" w:cs="Times New Roman"/>
      <w:sz w:val="24"/>
      <w:szCs w:val="20"/>
      <w:lang w:eastAsia="en-AU"/>
    </w:rPr>
  </w:style>
  <w:style w:type="paragraph" w:styleId="BodyTextIndent3">
    <w:name w:val="Body Text Indent 3"/>
    <w:basedOn w:val="Normal"/>
    <w:link w:val="BodyTextIndent3Char"/>
    <w:semiHidden/>
    <w:rsid w:val="008268EB"/>
    <w:pPr>
      <w:spacing w:before="240" w:after="0" w:line="240" w:lineRule="auto"/>
      <w:ind w:left="993" w:hanging="993"/>
    </w:pPr>
    <w:rPr>
      <w:rFonts w:ascii="Times New Roman" w:eastAsia="Times New Roman" w:hAnsi="Times New Roman" w:cs="Times New Roman"/>
      <w:b/>
      <w:sz w:val="24"/>
      <w:szCs w:val="20"/>
      <w:lang w:eastAsia="en-AU"/>
    </w:rPr>
  </w:style>
  <w:style w:type="character" w:customStyle="1" w:styleId="BodyTextIndent3Char">
    <w:name w:val="Body Text Indent 3 Char"/>
    <w:basedOn w:val="DefaultParagraphFont"/>
    <w:link w:val="BodyTextIndent3"/>
    <w:semiHidden/>
    <w:rsid w:val="008268EB"/>
    <w:rPr>
      <w:rFonts w:ascii="Times New Roman" w:eastAsia="Times New Roman" w:hAnsi="Times New Roman" w:cs="Times New Roman"/>
      <w:b/>
      <w:sz w:val="24"/>
      <w:szCs w:val="20"/>
      <w:lang w:eastAsia="en-AU"/>
    </w:rPr>
  </w:style>
  <w:style w:type="paragraph" w:customStyle="1" w:styleId="DotLeader">
    <w:name w:val="Dot Leader"/>
    <w:basedOn w:val="Normal"/>
    <w:rsid w:val="008268EB"/>
    <w:pPr>
      <w:keepLines/>
      <w:tabs>
        <w:tab w:val="left" w:pos="8222"/>
      </w:tabs>
      <w:spacing w:after="0" w:line="240" w:lineRule="auto"/>
    </w:pPr>
    <w:rPr>
      <w:rFonts w:ascii="Times New Roman" w:eastAsia="Times New Roman" w:hAnsi="Times New Roman" w:cs="Times New Roman"/>
      <w:szCs w:val="20"/>
      <w:lang w:eastAsia="en-AU"/>
    </w:rPr>
  </w:style>
  <w:style w:type="paragraph" w:customStyle="1" w:styleId="dotpoint">
    <w:name w:val="dot point"/>
    <w:basedOn w:val="Normal"/>
    <w:rsid w:val="008268EB"/>
    <w:pPr>
      <w:numPr>
        <w:numId w:val="34"/>
      </w:numPr>
      <w:tabs>
        <w:tab w:val="clear" w:pos="360"/>
      </w:tabs>
      <w:spacing w:after="0" w:line="240" w:lineRule="auto"/>
      <w:ind w:left="284" w:hanging="284"/>
    </w:pPr>
    <w:rPr>
      <w:rFonts w:ascii="Times New Roman" w:eastAsia="Times New Roman" w:hAnsi="Times New Roman" w:cs="Times New Roman"/>
      <w:szCs w:val="20"/>
      <w:lang w:eastAsia="en-AU"/>
    </w:rPr>
  </w:style>
  <w:style w:type="paragraph" w:customStyle="1" w:styleId="Figure">
    <w:name w:val="Figure"/>
    <w:basedOn w:val="Normal"/>
    <w:rsid w:val="008268EB"/>
    <w:pPr>
      <w:pBdr>
        <w:top w:val="single" w:sz="6" w:space="1" w:color="auto"/>
        <w:bottom w:val="single" w:sz="6" w:space="1" w:color="auto"/>
      </w:pBdr>
      <w:spacing w:after="120" w:line="240" w:lineRule="auto"/>
      <w:ind w:left="1134" w:hanging="1134"/>
    </w:pPr>
    <w:rPr>
      <w:rFonts w:ascii="Times New Roman" w:eastAsia="Times New Roman" w:hAnsi="Times New Roman" w:cs="Times New Roman"/>
      <w:b/>
      <w:szCs w:val="20"/>
      <w:lang w:eastAsia="en-AU"/>
    </w:rPr>
  </w:style>
  <w:style w:type="paragraph" w:customStyle="1" w:styleId="lastdot">
    <w:name w:val="last dot"/>
    <w:basedOn w:val="dotpoint"/>
    <w:rsid w:val="008268EB"/>
    <w:pPr>
      <w:numPr>
        <w:numId w:val="33"/>
      </w:numPr>
      <w:tabs>
        <w:tab w:val="num" w:pos="680"/>
      </w:tabs>
      <w:spacing w:after="220"/>
      <w:ind w:left="284" w:hanging="284"/>
    </w:pPr>
  </w:style>
  <w:style w:type="paragraph" w:customStyle="1" w:styleId="References0">
    <w:name w:val="References"/>
    <w:basedOn w:val="Normal"/>
    <w:rsid w:val="008268EB"/>
    <w:pPr>
      <w:spacing w:after="240" w:line="360" w:lineRule="atLeast"/>
      <w:ind w:left="220" w:hanging="220"/>
      <w:jc w:val="both"/>
    </w:pPr>
    <w:rPr>
      <w:rFonts w:ascii="Times" w:eastAsia="Times New Roman" w:hAnsi="Times" w:cs="Times New Roman"/>
      <w:sz w:val="24"/>
      <w:szCs w:val="20"/>
      <w:lang w:eastAsia="en-AU"/>
    </w:rPr>
  </w:style>
  <w:style w:type="paragraph" w:customStyle="1" w:styleId="Tablefootnote">
    <w:name w:val="Table footnote"/>
    <w:basedOn w:val="Normal"/>
    <w:rsid w:val="008268EB"/>
    <w:pPr>
      <w:spacing w:after="220" w:line="180" w:lineRule="exact"/>
    </w:pPr>
    <w:rPr>
      <w:rFonts w:ascii="Times" w:eastAsia="Times New Roman" w:hAnsi="Times" w:cs="Times New Roman"/>
      <w:sz w:val="16"/>
      <w:szCs w:val="20"/>
      <w:lang w:eastAsia="en-AU"/>
    </w:rPr>
  </w:style>
  <w:style w:type="paragraph" w:customStyle="1" w:styleId="Nospaceafter">
    <w:name w:val="No space after"/>
    <w:basedOn w:val="Normal"/>
    <w:rsid w:val="008268EB"/>
    <w:pPr>
      <w:spacing w:after="0" w:line="240" w:lineRule="auto"/>
    </w:pPr>
    <w:rPr>
      <w:rFonts w:ascii="Times New Roman" w:eastAsia="Times New Roman" w:hAnsi="Times New Roman" w:cs="Times New Roman"/>
      <w:szCs w:val="20"/>
      <w:lang w:eastAsia="en-AU"/>
    </w:rPr>
  </w:style>
  <w:style w:type="paragraph" w:customStyle="1" w:styleId="Evenpageheader">
    <w:name w:val="Even page header"/>
    <w:basedOn w:val="Header"/>
    <w:rsid w:val="008268EB"/>
    <w:pPr>
      <w:widowControl w:val="0"/>
      <w:tabs>
        <w:tab w:val="clear" w:pos="4513"/>
        <w:tab w:val="clear" w:pos="9026"/>
        <w:tab w:val="center" w:pos="4153"/>
        <w:tab w:val="right" w:pos="8306"/>
      </w:tabs>
      <w:spacing w:before="0" w:after="120"/>
      <w:jc w:val="left"/>
    </w:pPr>
    <w:rPr>
      <w:rFonts w:ascii="Times New Roman" w:eastAsia="Times New Roman" w:hAnsi="Times New Roman" w:cs="Times New Roman"/>
      <w:i/>
      <w:color w:val="auto"/>
      <w:szCs w:val="20"/>
      <w:lang w:eastAsia="en-AU"/>
    </w:rPr>
  </w:style>
  <w:style w:type="paragraph" w:customStyle="1" w:styleId="reference">
    <w:name w:val="reference"/>
    <w:basedOn w:val="Normal"/>
    <w:rsid w:val="008268EB"/>
    <w:pPr>
      <w:tabs>
        <w:tab w:val="left" w:pos="7938"/>
      </w:tabs>
      <w:spacing w:before="120" w:after="0" w:line="240" w:lineRule="auto"/>
      <w:ind w:left="284" w:hanging="284"/>
    </w:pPr>
    <w:rPr>
      <w:rFonts w:ascii="Times New Roman" w:eastAsia="Times New Roman" w:hAnsi="Times New Roman" w:cs="Times New Roman"/>
      <w:szCs w:val="20"/>
      <w:lang w:val="en-US"/>
    </w:rPr>
  </w:style>
  <w:style w:type="paragraph" w:customStyle="1" w:styleId="rfa1">
    <w:name w:val="rfa1"/>
    <w:basedOn w:val="Normal"/>
    <w:rsid w:val="008268EB"/>
    <w:pPr>
      <w:numPr>
        <w:numId w:val="36"/>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2">
    <w:name w:val="rfa2"/>
    <w:basedOn w:val="Normal"/>
    <w:rsid w:val="008268EB"/>
    <w:pPr>
      <w:numPr>
        <w:ilvl w:val="1"/>
        <w:numId w:val="36"/>
      </w:numPr>
      <w:spacing w:after="120" w:line="240" w:lineRule="auto"/>
    </w:pPr>
    <w:rPr>
      <w:rFonts w:ascii="Times New Roman" w:eastAsia="Times New Roman" w:hAnsi="Times New Roman" w:cs="Times New Roman"/>
      <w:sz w:val="24"/>
      <w:szCs w:val="20"/>
      <w:lang w:eastAsia="en-AU"/>
    </w:rPr>
  </w:style>
  <w:style w:type="paragraph" w:customStyle="1" w:styleId="rfa3">
    <w:name w:val="rfa3"/>
    <w:basedOn w:val="Normal"/>
    <w:rsid w:val="008268EB"/>
    <w:pPr>
      <w:numPr>
        <w:ilvl w:val="2"/>
        <w:numId w:val="36"/>
      </w:numPr>
      <w:spacing w:after="120" w:line="240" w:lineRule="auto"/>
    </w:pPr>
    <w:rPr>
      <w:rFonts w:ascii="Times New Roman" w:eastAsia="Times New Roman" w:hAnsi="Times New Roman" w:cs="Times New Roman"/>
      <w:sz w:val="24"/>
      <w:szCs w:val="20"/>
      <w:lang w:eastAsia="en-AU"/>
    </w:rPr>
  </w:style>
  <w:style w:type="paragraph" w:customStyle="1" w:styleId="rfa4">
    <w:name w:val="rfa4"/>
    <w:basedOn w:val="Normal"/>
    <w:rsid w:val="008268EB"/>
    <w:pPr>
      <w:numPr>
        <w:ilvl w:val="3"/>
        <w:numId w:val="36"/>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5">
    <w:name w:val="rfa5"/>
    <w:basedOn w:val="Normal"/>
    <w:rsid w:val="008268EB"/>
    <w:pPr>
      <w:numPr>
        <w:ilvl w:val="4"/>
        <w:numId w:val="36"/>
      </w:numPr>
      <w:spacing w:after="0" w:line="240" w:lineRule="auto"/>
    </w:pPr>
    <w:rPr>
      <w:rFonts w:ascii="Times New Roman" w:eastAsia="Times New Roman" w:hAnsi="Times New Roman" w:cs="Times New Roman"/>
      <w:sz w:val="24"/>
      <w:szCs w:val="20"/>
      <w:lang w:eastAsia="en-AU"/>
    </w:rPr>
  </w:style>
  <w:style w:type="paragraph" w:customStyle="1" w:styleId="rfa6">
    <w:name w:val="rfa6"/>
    <w:basedOn w:val="Normal"/>
    <w:rsid w:val="008268EB"/>
    <w:pPr>
      <w:numPr>
        <w:ilvl w:val="5"/>
        <w:numId w:val="36"/>
      </w:numPr>
      <w:spacing w:after="120" w:line="240" w:lineRule="auto"/>
    </w:pPr>
    <w:rPr>
      <w:rFonts w:ascii="Times New Roman" w:eastAsia="Times New Roman" w:hAnsi="Times New Roman" w:cs="Times New Roman"/>
      <w:sz w:val="24"/>
      <w:szCs w:val="20"/>
      <w:lang w:eastAsia="en-AU"/>
    </w:rPr>
  </w:style>
  <w:style w:type="paragraph" w:customStyle="1" w:styleId="rfa7">
    <w:name w:val="rfa7"/>
    <w:basedOn w:val="Normal"/>
    <w:rsid w:val="008268EB"/>
    <w:pPr>
      <w:numPr>
        <w:ilvl w:val="6"/>
        <w:numId w:val="36"/>
      </w:numPr>
      <w:tabs>
        <w:tab w:val="left" w:pos="567"/>
      </w:tabs>
      <w:spacing w:after="120" w:line="240" w:lineRule="auto"/>
    </w:pPr>
    <w:rPr>
      <w:rFonts w:ascii="Times New Roman" w:eastAsia="Times New Roman" w:hAnsi="Times New Roman" w:cs="Times New Roman"/>
      <w:sz w:val="24"/>
      <w:szCs w:val="20"/>
      <w:lang w:eastAsia="en-AU"/>
    </w:rPr>
  </w:style>
  <w:style w:type="paragraph" w:customStyle="1" w:styleId="rfa8">
    <w:name w:val="rfa8"/>
    <w:basedOn w:val="Normal"/>
    <w:rsid w:val="008268EB"/>
    <w:pPr>
      <w:numPr>
        <w:ilvl w:val="7"/>
        <w:numId w:val="36"/>
      </w:numPr>
      <w:spacing w:after="120" w:line="240" w:lineRule="auto"/>
    </w:pPr>
    <w:rPr>
      <w:rFonts w:ascii="Times New Roman" w:eastAsia="Times New Roman" w:hAnsi="Times New Roman" w:cs="Times New Roman"/>
      <w:sz w:val="24"/>
      <w:szCs w:val="20"/>
      <w:lang w:eastAsia="en-AU"/>
    </w:rPr>
  </w:style>
  <w:style w:type="paragraph" w:customStyle="1" w:styleId="rfa9">
    <w:name w:val="rfa9"/>
    <w:basedOn w:val="Normal"/>
    <w:rsid w:val="008268EB"/>
    <w:pPr>
      <w:numPr>
        <w:ilvl w:val="8"/>
        <w:numId w:val="36"/>
      </w:numPr>
      <w:spacing w:after="120" w:line="240" w:lineRule="auto"/>
    </w:pPr>
    <w:rPr>
      <w:rFonts w:ascii="Times New Roman" w:eastAsia="Times New Roman" w:hAnsi="Times New Roman" w:cs="Times New Roman"/>
      <w:sz w:val="24"/>
      <w:szCs w:val="20"/>
      <w:lang w:eastAsia="en-AU"/>
    </w:rPr>
  </w:style>
  <w:style w:type="paragraph" w:customStyle="1" w:styleId="attachpara">
    <w:name w:val="attach para"/>
    <w:basedOn w:val="Normal"/>
    <w:autoRedefine/>
    <w:rsid w:val="008268EB"/>
    <w:pPr>
      <w:numPr>
        <w:numId w:val="37"/>
      </w:numPr>
      <w:tabs>
        <w:tab w:val="clear" w:pos="360"/>
      </w:tabs>
      <w:spacing w:after="120" w:line="240" w:lineRule="auto"/>
      <w:jc w:val="both"/>
    </w:pPr>
    <w:rPr>
      <w:rFonts w:ascii="Times New Roman" w:eastAsia="Times New Roman" w:hAnsi="Times New Roman" w:cs="Times New Roman"/>
      <w:sz w:val="24"/>
      <w:szCs w:val="20"/>
      <w:lang w:eastAsia="en-AU"/>
    </w:rPr>
  </w:style>
  <w:style w:type="paragraph" w:customStyle="1" w:styleId="dotpoint2">
    <w:name w:val="dot point2"/>
    <w:basedOn w:val="Normal"/>
    <w:autoRedefine/>
    <w:rsid w:val="008268EB"/>
    <w:pPr>
      <w:widowControl w:val="0"/>
      <w:tabs>
        <w:tab w:val="left" w:pos="709"/>
      </w:tabs>
      <w:spacing w:after="120" w:line="240" w:lineRule="auto"/>
      <w:ind w:left="709" w:hanging="284"/>
      <w:jc w:val="both"/>
    </w:pPr>
    <w:rPr>
      <w:rFonts w:ascii="Times New Roman" w:eastAsia="Times New Roman" w:hAnsi="Times New Roman" w:cs="Times New Roman"/>
      <w:sz w:val="24"/>
      <w:szCs w:val="20"/>
      <w:lang w:val="en-US"/>
    </w:rPr>
  </w:style>
  <w:style w:type="paragraph" w:customStyle="1" w:styleId="number">
    <w:name w:val="number"/>
    <w:basedOn w:val="Normal"/>
    <w:autoRedefine/>
    <w:rsid w:val="008268EB"/>
    <w:pPr>
      <w:widowControl w:val="0"/>
      <w:numPr>
        <w:numId w:val="35"/>
      </w:numPr>
      <w:tabs>
        <w:tab w:val="clear" w:pos="360"/>
      </w:tabs>
      <w:spacing w:after="120" w:line="240" w:lineRule="auto"/>
      <w:ind w:left="426" w:hanging="426"/>
      <w:jc w:val="both"/>
    </w:pPr>
    <w:rPr>
      <w:rFonts w:ascii="Times New Roman" w:eastAsia="Times New Roman" w:hAnsi="Times New Roman" w:cs="Times New Roman"/>
      <w:sz w:val="24"/>
      <w:szCs w:val="20"/>
      <w:lang w:val="en-US"/>
    </w:rPr>
  </w:style>
  <w:style w:type="paragraph" w:customStyle="1" w:styleId="headStyle1">
    <w:name w:val="headStyle1"/>
    <w:basedOn w:val="Normal"/>
    <w:rsid w:val="008268EB"/>
    <w:pPr>
      <w:widowControl w:val="0"/>
      <w:spacing w:after="0" w:line="240" w:lineRule="auto"/>
      <w:ind w:left="851" w:hanging="851"/>
    </w:pPr>
    <w:rPr>
      <w:rFonts w:ascii="Times New Roman" w:eastAsia="Times New Roman" w:hAnsi="Times New Roman" w:cs="Times New Roman"/>
      <w:b/>
      <w:sz w:val="32"/>
      <w:szCs w:val="20"/>
      <w:lang w:val="en-US" w:eastAsia="en-AU"/>
    </w:rPr>
  </w:style>
  <w:style w:type="paragraph" w:styleId="DocumentMap">
    <w:name w:val="Document Map"/>
    <w:basedOn w:val="Normal"/>
    <w:link w:val="DocumentMapChar"/>
    <w:semiHidden/>
    <w:rsid w:val="008268EB"/>
    <w:pPr>
      <w:shd w:val="clear" w:color="auto" w:fill="000080"/>
      <w:spacing w:after="0" w:line="240" w:lineRule="auto"/>
    </w:pPr>
    <w:rPr>
      <w:rFonts w:ascii="Tahoma" w:eastAsia="Times New Roman" w:hAnsi="Tahoma" w:cs="Times New Roman"/>
      <w:sz w:val="24"/>
      <w:szCs w:val="20"/>
      <w:lang w:eastAsia="en-AU"/>
    </w:rPr>
  </w:style>
  <w:style w:type="character" w:customStyle="1" w:styleId="DocumentMapChar">
    <w:name w:val="Document Map Char"/>
    <w:basedOn w:val="DefaultParagraphFont"/>
    <w:link w:val="DocumentMap"/>
    <w:semiHidden/>
    <w:rsid w:val="008268EB"/>
    <w:rPr>
      <w:rFonts w:ascii="Tahoma" w:eastAsia="Times New Roman" w:hAnsi="Tahoma" w:cs="Times New Roman"/>
      <w:sz w:val="24"/>
      <w:szCs w:val="20"/>
      <w:shd w:val="clear" w:color="auto" w:fill="000080"/>
      <w:lang w:eastAsia="en-AU"/>
    </w:rPr>
  </w:style>
  <w:style w:type="paragraph" w:customStyle="1" w:styleId="headingB">
    <w:name w:val="heading B"/>
    <w:basedOn w:val="Normal"/>
    <w:rsid w:val="008268EB"/>
    <w:pPr>
      <w:widowControl w:val="0"/>
      <w:spacing w:after="120" w:line="240" w:lineRule="auto"/>
    </w:pPr>
    <w:rPr>
      <w:rFonts w:ascii="Arial" w:eastAsia="Times New Roman" w:hAnsi="Arial" w:cs="Times New Roman"/>
      <w:caps/>
      <w:spacing w:val="-26"/>
      <w:sz w:val="32"/>
      <w:szCs w:val="20"/>
      <w:lang w:val="en-US" w:eastAsia="en-AU"/>
    </w:rPr>
  </w:style>
  <w:style w:type="paragraph" w:customStyle="1" w:styleId="Dash">
    <w:name w:val="Dash"/>
    <w:basedOn w:val="Normal"/>
    <w:rsid w:val="008268EB"/>
    <w:pPr>
      <w:numPr>
        <w:numId w:val="38"/>
      </w:numPr>
      <w:tabs>
        <w:tab w:val="clear" w:pos="360"/>
      </w:tabs>
      <w:spacing w:after="240" w:line="240" w:lineRule="auto"/>
      <w:ind w:left="709" w:hanging="283"/>
    </w:pPr>
    <w:rPr>
      <w:rFonts w:ascii="Times New Roman" w:eastAsia="Times New Roman" w:hAnsi="Times New Roman" w:cs="Times New Roman"/>
      <w:sz w:val="24"/>
      <w:szCs w:val="20"/>
      <w:lang w:eastAsia="en-AU"/>
    </w:rPr>
  </w:style>
  <w:style w:type="paragraph" w:customStyle="1" w:styleId="Doubledot">
    <w:name w:val="Double dot"/>
    <w:basedOn w:val="Dash"/>
    <w:rsid w:val="008268EB"/>
    <w:pPr>
      <w:numPr>
        <w:numId w:val="39"/>
      </w:numPr>
      <w:tabs>
        <w:tab w:val="clear" w:pos="1276"/>
        <w:tab w:val="num" w:pos="360"/>
      </w:tabs>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environment.gov.au/system/files/resources/8b50f335-42e8-4599-b5e0-ac643f75475f/files/nhl-guidelines.pdf" TargetMode="External"/><Relationship Id="rId2" Type="http://schemas.openxmlformats.org/officeDocument/2006/relationships/hyperlink" Target="http://www.environment.vic.gov.,au/weeds-and-pests" TargetMode="External"/><Relationship Id="rId1" Type="http://schemas.openxmlformats.org/officeDocument/2006/relationships/hyperlink" Target="https://www.environment.vic.gov.au/biodiversity/biodiversity-response-planning" TargetMode="External"/><Relationship Id="rId6" Type="http://schemas.openxmlformats.org/officeDocument/2006/relationships/hyperlink" Target="https://heritagecouncil.vic.gov.au/heritage-protection/levels-of-protection/" TargetMode="External"/><Relationship Id="rId5" Type="http://schemas.openxmlformats.org/officeDocument/2006/relationships/hyperlink" Target="https://www.environment.gov.au/heritage/publications/australian-heritage-database" TargetMode="External"/><Relationship Id="rId4" Type="http://schemas.openxmlformats.org/officeDocument/2006/relationships/hyperlink" Target="https://www.environment.gov.au/heritage/about/national/managing-national-heritage-plac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nternal.vic.gov.au\depi\groupdata\LFE_Group\FEM\Knowledge_Engagement\Monitor_Eval_Research\Projects\RFA\1-RFA%20Assess%20Project\Project%2010%20-%20Reporting\Report_sections\1.1_Old_Growth\MOG_CAR_Combine_Analysis_20190717.db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Sheet2!$L$17</c:f>
              <c:strCache>
                <c:ptCount val="1"/>
                <c:pt idx="0">
                  <c:v>Central Highlands</c:v>
                </c:pt>
              </c:strCache>
            </c:strRef>
          </c:tx>
          <c:spPr>
            <a:solidFill>
              <a:schemeClr val="accent1"/>
            </a:solidFill>
            <a:ln>
              <a:noFill/>
            </a:ln>
            <a:effectLst/>
          </c:spPr>
          <c:invertIfNegative val="0"/>
          <c:cat>
            <c:strRef>
              <c:f>Sheet2!$K$18:$K$21</c:f>
              <c:strCache>
                <c:ptCount val="4"/>
                <c:pt idx="0">
                  <c:v>CRA</c:v>
                </c:pt>
                <c:pt idx="1">
                  <c:v>OG100 - 2003</c:v>
                </c:pt>
                <c:pt idx="2">
                  <c:v>MOG 2009</c:v>
                </c:pt>
                <c:pt idx="3">
                  <c:v>MOG 2018</c:v>
                </c:pt>
              </c:strCache>
            </c:strRef>
          </c:cat>
          <c:val>
            <c:numRef>
              <c:f>Sheet2!$L$18:$L$21</c:f>
              <c:numCache>
                <c:formatCode>General</c:formatCode>
                <c:ptCount val="4"/>
                <c:pt idx="0" formatCode="#,##0">
                  <c:v>25951</c:v>
                </c:pt>
                <c:pt idx="1">
                  <c:v>27136.476659267206</c:v>
                </c:pt>
                <c:pt idx="2">
                  <c:v>17885.53246034621</c:v>
                </c:pt>
                <c:pt idx="3">
                  <c:v>9235</c:v>
                </c:pt>
              </c:numCache>
            </c:numRef>
          </c:val>
          <c:extLst>
            <c:ext xmlns:c16="http://schemas.microsoft.com/office/drawing/2014/chart" uri="{C3380CC4-5D6E-409C-BE32-E72D297353CC}">
              <c16:uniqueId val="{00000000-8166-4E64-ABC3-09685682D84D}"/>
            </c:ext>
          </c:extLst>
        </c:ser>
        <c:ser>
          <c:idx val="1"/>
          <c:order val="1"/>
          <c:tx>
            <c:strRef>
              <c:f>Sheet2!$M$17</c:f>
              <c:strCache>
                <c:ptCount val="1"/>
                <c:pt idx="0">
                  <c:v>East Gippsland</c:v>
                </c:pt>
              </c:strCache>
            </c:strRef>
          </c:tx>
          <c:spPr>
            <a:solidFill>
              <a:schemeClr val="accent2"/>
            </a:solidFill>
            <a:ln>
              <a:noFill/>
            </a:ln>
            <a:effectLst/>
          </c:spPr>
          <c:invertIfNegative val="0"/>
          <c:cat>
            <c:strRef>
              <c:f>Sheet2!$K$18:$K$21</c:f>
              <c:strCache>
                <c:ptCount val="4"/>
                <c:pt idx="0">
                  <c:v>CRA</c:v>
                </c:pt>
                <c:pt idx="1">
                  <c:v>OG100 - 2003</c:v>
                </c:pt>
                <c:pt idx="2">
                  <c:v>MOG 2009</c:v>
                </c:pt>
                <c:pt idx="3">
                  <c:v>MOG 2018</c:v>
                </c:pt>
              </c:strCache>
            </c:strRef>
          </c:cat>
          <c:val>
            <c:numRef>
              <c:f>Sheet2!$M$18:$M$21</c:f>
              <c:numCache>
                <c:formatCode>General</c:formatCode>
                <c:ptCount val="4"/>
                <c:pt idx="0" formatCode="#,##0">
                  <c:v>225000</c:v>
                </c:pt>
                <c:pt idx="1">
                  <c:v>224435.39476558016</c:v>
                </c:pt>
                <c:pt idx="2">
                  <c:v>88906.631605099785</c:v>
                </c:pt>
                <c:pt idx="3">
                  <c:v>88468</c:v>
                </c:pt>
              </c:numCache>
            </c:numRef>
          </c:val>
          <c:extLst>
            <c:ext xmlns:c16="http://schemas.microsoft.com/office/drawing/2014/chart" uri="{C3380CC4-5D6E-409C-BE32-E72D297353CC}">
              <c16:uniqueId val="{00000001-8166-4E64-ABC3-09685682D84D}"/>
            </c:ext>
          </c:extLst>
        </c:ser>
        <c:ser>
          <c:idx val="2"/>
          <c:order val="2"/>
          <c:tx>
            <c:strRef>
              <c:f>Sheet2!$N$17</c:f>
              <c:strCache>
                <c:ptCount val="1"/>
                <c:pt idx="0">
                  <c:v>Gippsland</c:v>
                </c:pt>
              </c:strCache>
            </c:strRef>
          </c:tx>
          <c:spPr>
            <a:solidFill>
              <a:schemeClr val="accent3"/>
            </a:solidFill>
            <a:ln>
              <a:noFill/>
            </a:ln>
            <a:effectLst/>
          </c:spPr>
          <c:invertIfNegative val="0"/>
          <c:cat>
            <c:strRef>
              <c:f>Sheet2!$K$18:$K$21</c:f>
              <c:strCache>
                <c:ptCount val="4"/>
                <c:pt idx="0">
                  <c:v>CRA</c:v>
                </c:pt>
                <c:pt idx="1">
                  <c:v>OG100 - 2003</c:v>
                </c:pt>
                <c:pt idx="2">
                  <c:v>MOG 2009</c:v>
                </c:pt>
                <c:pt idx="3">
                  <c:v>MOG 2018</c:v>
                </c:pt>
              </c:strCache>
            </c:strRef>
          </c:cat>
          <c:val>
            <c:numRef>
              <c:f>Sheet2!$N$18:$N$21</c:f>
              <c:numCache>
                <c:formatCode>General</c:formatCode>
                <c:ptCount val="4"/>
                <c:pt idx="0" formatCode="#,##0">
                  <c:v>208261</c:v>
                </c:pt>
                <c:pt idx="1">
                  <c:v>209181.58035157685</c:v>
                </c:pt>
                <c:pt idx="2">
                  <c:v>73632.614166502754</c:v>
                </c:pt>
                <c:pt idx="3">
                  <c:v>73202</c:v>
                </c:pt>
              </c:numCache>
            </c:numRef>
          </c:val>
          <c:extLst>
            <c:ext xmlns:c16="http://schemas.microsoft.com/office/drawing/2014/chart" uri="{C3380CC4-5D6E-409C-BE32-E72D297353CC}">
              <c16:uniqueId val="{00000002-8166-4E64-ABC3-09685682D84D}"/>
            </c:ext>
          </c:extLst>
        </c:ser>
        <c:ser>
          <c:idx val="3"/>
          <c:order val="3"/>
          <c:tx>
            <c:strRef>
              <c:f>Sheet2!$O$17</c:f>
              <c:strCache>
                <c:ptCount val="1"/>
                <c:pt idx="0">
                  <c:v>North east</c:v>
                </c:pt>
              </c:strCache>
            </c:strRef>
          </c:tx>
          <c:spPr>
            <a:solidFill>
              <a:schemeClr val="accent4"/>
            </a:solidFill>
            <a:ln>
              <a:noFill/>
            </a:ln>
            <a:effectLst/>
          </c:spPr>
          <c:invertIfNegative val="0"/>
          <c:cat>
            <c:strRef>
              <c:f>Sheet2!$K$18:$K$21</c:f>
              <c:strCache>
                <c:ptCount val="4"/>
                <c:pt idx="0">
                  <c:v>CRA</c:v>
                </c:pt>
                <c:pt idx="1">
                  <c:v>OG100 - 2003</c:v>
                </c:pt>
                <c:pt idx="2">
                  <c:v>MOG 2009</c:v>
                </c:pt>
                <c:pt idx="3">
                  <c:v>MOG 2018</c:v>
                </c:pt>
              </c:strCache>
            </c:strRef>
          </c:cat>
          <c:val>
            <c:numRef>
              <c:f>Sheet2!$O$18:$O$21</c:f>
              <c:numCache>
                <c:formatCode>General</c:formatCode>
                <c:ptCount val="4"/>
                <c:pt idx="0" formatCode="#,##0">
                  <c:v>259465</c:v>
                </c:pt>
                <c:pt idx="1">
                  <c:v>260146.85192537445</c:v>
                </c:pt>
                <c:pt idx="2">
                  <c:v>127934.22808577199</c:v>
                </c:pt>
                <c:pt idx="3">
                  <c:v>127813</c:v>
                </c:pt>
              </c:numCache>
            </c:numRef>
          </c:val>
          <c:extLst>
            <c:ext xmlns:c16="http://schemas.microsoft.com/office/drawing/2014/chart" uri="{C3380CC4-5D6E-409C-BE32-E72D297353CC}">
              <c16:uniqueId val="{00000003-8166-4E64-ABC3-09685682D84D}"/>
            </c:ext>
          </c:extLst>
        </c:ser>
        <c:ser>
          <c:idx val="4"/>
          <c:order val="4"/>
          <c:tx>
            <c:strRef>
              <c:f>Sheet2!$P$17</c:f>
              <c:strCache>
                <c:ptCount val="1"/>
                <c:pt idx="0">
                  <c:v>West</c:v>
                </c:pt>
              </c:strCache>
            </c:strRef>
          </c:tx>
          <c:spPr>
            <a:solidFill>
              <a:srgbClr val="00B050"/>
            </a:solidFill>
            <a:ln>
              <a:noFill/>
            </a:ln>
            <a:effectLst/>
          </c:spPr>
          <c:invertIfNegative val="0"/>
          <c:cat>
            <c:strRef>
              <c:f>Sheet2!$K$18:$K$21</c:f>
              <c:strCache>
                <c:ptCount val="4"/>
                <c:pt idx="0">
                  <c:v>CRA</c:v>
                </c:pt>
                <c:pt idx="1">
                  <c:v>OG100 - 2003</c:v>
                </c:pt>
                <c:pt idx="2">
                  <c:v>MOG 2009</c:v>
                </c:pt>
                <c:pt idx="3">
                  <c:v>MOG 2018</c:v>
                </c:pt>
              </c:strCache>
            </c:strRef>
          </c:cat>
          <c:val>
            <c:numRef>
              <c:f>Sheet2!$P$18:$P$21</c:f>
              <c:numCache>
                <c:formatCode>General</c:formatCode>
                <c:ptCount val="4"/>
                <c:pt idx="0" formatCode="#,##0">
                  <c:v>123242</c:v>
                </c:pt>
                <c:pt idx="1">
                  <c:v>130768.97852045378</c:v>
                </c:pt>
                <c:pt idx="2">
                  <c:v>130768.97801932097</c:v>
                </c:pt>
                <c:pt idx="3">
                  <c:v>107453</c:v>
                </c:pt>
              </c:numCache>
            </c:numRef>
          </c:val>
          <c:extLst>
            <c:ext xmlns:c16="http://schemas.microsoft.com/office/drawing/2014/chart" uri="{C3380CC4-5D6E-409C-BE32-E72D297353CC}">
              <c16:uniqueId val="{00000004-8166-4E64-ABC3-09685682D84D}"/>
            </c:ext>
          </c:extLst>
        </c:ser>
        <c:dLbls>
          <c:showLegendKey val="0"/>
          <c:showVal val="0"/>
          <c:showCatName val="0"/>
          <c:showSerName val="0"/>
          <c:showPercent val="0"/>
          <c:showBubbleSize val="0"/>
        </c:dLbls>
        <c:gapWidth val="150"/>
        <c:overlap val="100"/>
        <c:axId val="494354704"/>
        <c:axId val="494355688"/>
      </c:barChart>
      <c:catAx>
        <c:axId val="49435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355688"/>
        <c:crosses val="autoZero"/>
        <c:auto val="1"/>
        <c:lblAlgn val="ctr"/>
        <c:lblOffset val="100"/>
        <c:noMultiLvlLbl val="0"/>
      </c:catAx>
      <c:valAx>
        <c:axId val="494355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35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002517F445A0F35E449C98AAD631F2B03860"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01515e0b-0528-49c7-a53b-6d3bf8d1dbc3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4fc4eb71-37bd-484a-9730-ffe71d98aecc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_dlc_DocId xmlns="a5f32de4-e402-4188-b034-e71ca7d22e54">DOCID523-1673081819-47</_dlc_DocId>
    <_dlc_DocIdUrl xmlns="a5f32de4-e402-4188-b034-e71ca7d22e54">
      <Url>https://delwpvicgovau.sharepoint.com/sites/ecm_523/_layouts/15/DocIdRedir.aspx?ID=DOCID523-1673081819-47</Url>
      <Description>DOCID523-1673081819-47</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Action List" ma:contentTypeID="0x0101002517F445A0F35E449C98AAD631F2B0386000BF9FDAF71FE12C4CA6EB66F3EAF59B97" ma:contentTypeVersion="11" ma:contentTypeDescription="Used to log actions from meetings" ma:contentTypeScope="" ma:versionID="2d7aa6d35e1117a88b3137bd98c5c57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a1c3bab4d30470caadf44401f3f90800"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Policy|4fc4eb71-37bd-484a-9730-ffe71d98aec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8c89ca8-b6b9-4847-a38b-51831b7d3b46}" ma:internalName="TaxCatchAll" ma:showField="CatchAllData"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8c89ca8-b6b9-4847-a38b-51831b7d3b46}" ma:internalName="TaxCatchAllLabel" ma:readOnly="true" ma:showField="CatchAllDataLabel" ma:web="f62668c0-82ee-4623-ab3b-d6d6f9ed9c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Policy and Planning|01515e0b-0528-49c7-a53b-6d3bf8d1dbc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B95761-05EB-4050-968D-2FF290D03330}">
  <ds:schemaRefs>
    <ds:schemaRef ds:uri="http://schemas.microsoft.com/sharepoint/events"/>
  </ds:schemaRefs>
</ds:datastoreItem>
</file>

<file path=customXml/itemProps2.xml><?xml version="1.0" encoding="utf-8"?>
<ds:datastoreItem xmlns:ds="http://schemas.openxmlformats.org/officeDocument/2006/customXml" ds:itemID="{D2B9131E-10D1-433C-9204-DFD17C75F76C}">
  <ds:schemaRefs>
    <ds:schemaRef ds:uri="Microsoft.SharePoint.Taxonomy.ContentTypeSync"/>
  </ds:schemaRefs>
</ds:datastoreItem>
</file>

<file path=customXml/itemProps3.xml><?xml version="1.0" encoding="utf-8"?>
<ds:datastoreItem xmlns:ds="http://schemas.openxmlformats.org/officeDocument/2006/customXml" ds:itemID="{75A407AA-8CAD-4B2E-8C76-39716FDEBE2D}">
  <ds:schemaRefs>
    <ds:schemaRef ds:uri="http://schemas.microsoft.com/office/2006/metadata/customXsn"/>
  </ds:schemaRefs>
</ds:datastoreItem>
</file>

<file path=customXml/itemProps4.xml><?xml version="1.0" encoding="utf-8"?>
<ds:datastoreItem xmlns:ds="http://schemas.openxmlformats.org/officeDocument/2006/customXml" ds:itemID="{94FD7D53-B4A9-4B39-BA0F-824FD05B8FF2}">
  <ds:schemaRefs>
    <ds:schemaRef ds:uri="a5f32de4-e402-4188-b034-e71ca7d22e54"/>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9fd47c19-1c4a-4d7d-b342-c10cef269344"/>
    <ds:schemaRef ds:uri="http://www.w3.org/XML/1998/namespace"/>
  </ds:schemaRefs>
</ds:datastoreItem>
</file>

<file path=customXml/itemProps5.xml><?xml version="1.0" encoding="utf-8"?>
<ds:datastoreItem xmlns:ds="http://schemas.openxmlformats.org/officeDocument/2006/customXml" ds:itemID="{CA4E8514-9FF7-4FAD-B3C7-3A47E40FF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B0ACA3-9C45-4BB5-B30C-7F403CE361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13200</Words>
  <Characters>75243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Zanrosso (DELWP)</dc:creator>
  <cp:keywords/>
  <dc:description/>
  <cp:lastModifiedBy>Penelope R Jordan (DELWP)</cp:lastModifiedBy>
  <cp:revision>2</cp:revision>
  <dcterms:created xsi:type="dcterms:W3CDTF">2020-03-29T23:25:00Z</dcterms:created>
  <dcterms:modified xsi:type="dcterms:W3CDTF">2020-03-29T23:25:00Z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0x0101002517F445A0F35E449C98AAD631F2B0386000BF9FDAF71FE12C4CA6EB66F3EAF59B97</vt:lpwstr>
  </property>
  <property fmtid="{D5CDD505-2E9C-101B-9397-08002B2CF9AE}" pid="3" name="Section">
    <vt:i4>7</vt:i4>
  </property>
  <property fmtid="{D5CDD505-2E9C-101B-9397-08002B2CF9AE}" pid="4" name="Agency">
    <vt:i4>1</vt:i4>
  </property>
  <property fmtid="{D5CDD505-2E9C-101B-9397-08002B2CF9AE}" pid="5" name="Branch">
    <vt:i4>8</vt:i4>
  </property>
  <property fmtid="{D5CDD505-2E9C-101B-9397-08002B2CF9AE}" pid="6" name="_dlc_DocIdItemGuid">
    <vt:lpwstr>c20580a4-a50d-43cf-b3ad-15b016dea40c</vt:lpwstr>
  </property>
  <property fmtid="{D5CDD505-2E9C-101B-9397-08002B2CF9AE}" pid="7" name="Division">
    <vt:i4>9</vt:i4>
  </property>
  <property fmtid="{D5CDD505-2E9C-101B-9397-08002B2CF9AE}" pid="8" name="Dissemination Limiting Marker">
    <vt:i4>2</vt:i4>
  </property>
  <property fmtid="{D5CDD505-2E9C-101B-9397-08002B2CF9AE}" pid="9" name="Group1">
    <vt:i4>10</vt:i4>
  </property>
  <property fmtid="{D5CDD505-2E9C-101B-9397-08002B2CF9AE}" pid="10" name="Security Classification">
    <vt:i4>3</vt:i4>
  </property>
</Properties>
</file>