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43D6" w:rsidRPr="001743D6" w:rsidRDefault="001743D6" w:rsidP="001743D6">
      <w:pPr>
        <w:spacing w:before="360" w:after="240" w:line="440" w:lineRule="atLeast"/>
        <w:outlineLvl w:val="1"/>
        <w:rPr>
          <w:rFonts w:ascii="Segoe UI" w:hAnsi="Segoe UI" w:cs="Segoe UI"/>
          <w:b/>
          <w:color w:val="0074A1"/>
          <w:sz w:val="32"/>
          <w:szCs w:val="32"/>
        </w:rPr>
      </w:pPr>
      <w:bookmarkStart w:id="0" w:name="_Toc11768307"/>
      <w:bookmarkStart w:id="1" w:name="_Toc30491989"/>
      <w:bookmarkStart w:id="2" w:name="_Toc33002086"/>
      <w:bookmarkStart w:id="3" w:name="_GoBack"/>
      <w:bookmarkEnd w:id="3"/>
      <w:r w:rsidRPr="001743D6">
        <w:rPr>
          <w:rFonts w:ascii="Segoe UI" w:hAnsi="Segoe UI" w:cs="Segoe UI"/>
          <w:b/>
          <w:color w:val="0074A1"/>
          <w:sz w:val="32"/>
          <w:szCs w:val="32"/>
        </w:rPr>
        <w:t>Biodiversity values</w:t>
      </w:r>
      <w:bookmarkEnd w:id="0"/>
      <w:bookmarkEnd w:id="1"/>
      <w:bookmarkEnd w:id="2"/>
    </w:p>
    <w:p w:rsidR="001743D6" w:rsidRPr="001743D6" w:rsidRDefault="001743D6" w:rsidP="001743D6">
      <w:pPr>
        <w:jc w:val="both"/>
        <w:rPr>
          <w:rFonts w:ascii="Segoe UI" w:hAnsi="Segoe UI" w:cs="Segoe UI"/>
        </w:rPr>
      </w:pPr>
      <w:r w:rsidRPr="001743D6">
        <w:rPr>
          <w:rFonts w:ascii="Segoe UI" w:hAnsi="Segoe UI" w:cs="Segoe UI"/>
        </w:rPr>
        <w:t>Biodiversity is the name given to the variety of living things: the different flora, fauna and organisms; the genetic information they contain; and the ecosystems they form. Biodiversity values were fundamental in establishing a CAR reserve system under Victorian RFAs and were a focus of the related CRAs.</w:t>
      </w:r>
    </w:p>
    <w:p w:rsidR="001743D6" w:rsidRPr="001743D6" w:rsidRDefault="001743D6" w:rsidP="001743D6">
      <w:pPr>
        <w:jc w:val="both"/>
        <w:rPr>
          <w:rFonts w:ascii="Segoe UI" w:hAnsi="Segoe UI" w:cs="Segoe UI"/>
        </w:rPr>
      </w:pPr>
      <w:r w:rsidRPr="001743D6">
        <w:rPr>
          <w:rFonts w:ascii="Segoe UI" w:hAnsi="Segoe UI" w:cs="Segoe UI"/>
        </w:rPr>
        <w:t>The National Reserve System (NRS) is Australia’s network of public, Indigenous and private protected areas over land and inland freshwater. Its focus is to secure long-term protection for samples of Australia’s diverse ecosystems and the plants and animals they support. The NRS includes the protected areas and reserves established and effectively managed through the collective efforts of the Australian Government, states, territories, local government, Indigenous and private landholders, and non-government organisations.</w:t>
      </w:r>
    </w:p>
    <w:p w:rsidR="001743D6" w:rsidRPr="001743D6" w:rsidRDefault="001743D6" w:rsidP="001743D6">
      <w:pPr>
        <w:jc w:val="both"/>
        <w:rPr>
          <w:rFonts w:ascii="Segoe UI" w:hAnsi="Segoe UI" w:cs="Segoe UI"/>
        </w:rPr>
      </w:pPr>
      <w:r w:rsidRPr="001743D6">
        <w:rPr>
          <w:rFonts w:ascii="Segoe UI" w:hAnsi="Segoe UI" w:cs="Segoe UI"/>
        </w:rPr>
        <w:t>Indicators of biodiversity value can include the number and diversity of flora and fauna species, ecological communities and forest types. These indicators consider the range of flora and fauna species and communities, and the reserves established to protect biodiversity.</w:t>
      </w:r>
    </w:p>
    <w:p w:rsidR="001743D6" w:rsidRPr="001743D6" w:rsidRDefault="001743D6" w:rsidP="001743D6">
      <w:pPr>
        <w:rPr>
          <w:rFonts w:ascii="Segoe UI" w:hAnsi="Segoe UI" w:cs="Segoe UI"/>
          <w:b/>
          <w:color w:val="000000"/>
          <w:sz w:val="24"/>
          <w:szCs w:val="24"/>
        </w:rPr>
      </w:pPr>
      <w:bookmarkStart w:id="4" w:name="_Toc11768308"/>
      <w:r w:rsidRPr="001743D6">
        <w:rPr>
          <w:rFonts w:ascii="Segoe UI" w:hAnsi="Segoe UI" w:cs="Segoe UI"/>
        </w:rPr>
        <w:br w:type="page"/>
      </w:r>
    </w:p>
    <w:p w:rsidR="001743D6" w:rsidRPr="001743D6" w:rsidRDefault="001743D6" w:rsidP="001743D6">
      <w:pPr>
        <w:keepNext/>
        <w:spacing w:before="240" w:after="240" w:line="240" w:lineRule="auto"/>
        <w:outlineLvl w:val="2"/>
        <w:rPr>
          <w:rFonts w:ascii="Segoe UI" w:hAnsi="Segoe UI" w:cs="Segoe UI"/>
          <w:b/>
          <w:color w:val="000000"/>
          <w:sz w:val="24"/>
          <w:szCs w:val="24"/>
        </w:rPr>
      </w:pPr>
      <w:bookmarkStart w:id="5" w:name="_Toc30491990"/>
      <w:bookmarkStart w:id="6" w:name="_Toc33002087"/>
      <w:r w:rsidRPr="001743D6">
        <w:rPr>
          <w:rFonts w:ascii="Segoe UI" w:hAnsi="Segoe UI" w:cs="Segoe UI"/>
          <w:b/>
          <w:color w:val="000000"/>
          <w:sz w:val="24"/>
          <w:szCs w:val="24"/>
        </w:rPr>
        <w:lastRenderedPageBreak/>
        <w:t>Indicator 1.1a: Area of forest by forest type and tenure</w:t>
      </w:r>
      <w:bookmarkEnd w:id="4"/>
      <w:bookmarkEnd w:id="5"/>
      <w:bookmarkEnd w:id="6"/>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Forest type assessment in the Comprehensive Regional Assessment</w:t>
      </w:r>
    </w:p>
    <w:p w:rsidR="001743D6" w:rsidRPr="001743D6" w:rsidRDefault="001743D6" w:rsidP="001743D6">
      <w:pPr>
        <w:jc w:val="both"/>
        <w:rPr>
          <w:rFonts w:ascii="Segoe UI" w:hAnsi="Segoe UI" w:cs="Segoe UI"/>
        </w:rPr>
      </w:pPr>
      <w:r w:rsidRPr="001743D6">
        <w:rPr>
          <w:rFonts w:ascii="Segoe UI" w:hAnsi="Segoe UI" w:cs="Segoe UI"/>
        </w:rPr>
        <w:t>Forest type information provided in the CRA documents was described under the Forest Ecosystem Assessment sections of the respective reports and used the EVCs as the basic mapping units. However, no dedicated forest cover (by forest type) was presented. Comparisons of forest type information between the CRA process and the current data are therefore limited to changes in EVC area, and forest productive areas, as presented in Indicator 2.1a.</w:t>
      </w:r>
    </w:p>
    <w:p w:rsidR="001743D6" w:rsidRPr="001743D6" w:rsidRDefault="001743D6" w:rsidP="001743D6">
      <w:pPr>
        <w:keepNext/>
        <w:spacing w:before="120" w:after="120" w:line="240" w:lineRule="auto"/>
        <w:jc w:val="both"/>
        <w:outlineLvl w:val="3"/>
        <w:rPr>
          <w:rFonts w:ascii="Segoe UI" w:hAnsi="Segoe UI" w:cs="Segoe UI"/>
          <w:i/>
          <w:sz w:val="24"/>
          <w:szCs w:val="24"/>
          <w:lang w:eastAsia="ja-JP"/>
        </w:rPr>
      </w:pPr>
      <w:r w:rsidRPr="001743D6">
        <w:rPr>
          <w:rFonts w:ascii="Segoe UI" w:hAnsi="Segoe UI" w:cs="Segoe UI"/>
          <w:i/>
          <w:sz w:val="24"/>
          <w:szCs w:val="24"/>
          <w:lang w:eastAsia="ja-JP"/>
        </w:rPr>
        <w:t>Area of forest, by forest type</w:t>
      </w:r>
    </w:p>
    <w:p w:rsidR="001743D6" w:rsidRPr="001743D6" w:rsidRDefault="001743D6" w:rsidP="001743D6">
      <w:pPr>
        <w:keepNext/>
        <w:keepLines/>
        <w:spacing w:before="40" w:after="40"/>
        <w:outlineLvl w:val="4"/>
        <w:rPr>
          <w:rFonts w:ascii="Segoe UI" w:eastAsia="STZhongsong" w:hAnsi="Segoe UI" w:cs="Majalla UI"/>
          <w:i/>
          <w:color w:val="13345C"/>
          <w:lang w:eastAsia="ja-JP"/>
        </w:rPr>
      </w:pPr>
      <w:r w:rsidRPr="001743D6">
        <w:rPr>
          <w:rFonts w:ascii="Segoe UI" w:eastAsia="STZhongsong" w:hAnsi="Segoe UI" w:cs="Majalla UI"/>
          <w:i/>
          <w:color w:val="13345C"/>
          <w:lang w:eastAsia="ja-JP"/>
        </w:rPr>
        <w:t>Differences in mapping approaches</w:t>
      </w:r>
    </w:p>
    <w:p w:rsidR="001743D6" w:rsidRPr="001743D6" w:rsidRDefault="001743D6" w:rsidP="001743D6">
      <w:pPr>
        <w:jc w:val="both"/>
        <w:rPr>
          <w:rFonts w:ascii="Segoe UI" w:hAnsi="Segoe UI" w:cs="Segoe UI"/>
          <w:lang w:eastAsia="ja-JP"/>
        </w:rPr>
      </w:pPr>
      <w:r w:rsidRPr="001743D6">
        <w:rPr>
          <w:rFonts w:ascii="Segoe UI" w:hAnsi="Segoe UI" w:cs="Segoe UI"/>
          <w:lang w:eastAsia="ja-JP"/>
        </w:rPr>
        <w:t xml:space="preserve">The information presented here is drawn from different processes that each contribute to inform the narrative around current forest extent by RFA region. However, the different processes present varying estimates of total forest cover in Victoria. This is important to note, as it explains the inherent uncertainty in landscape-scale landcover analysis. In </w:t>
      </w:r>
      <w:r w:rsidRPr="001743D6">
        <w:rPr>
          <w:rFonts w:ascii="Segoe UI" w:hAnsi="Segoe UI" w:cs="Segoe UI"/>
          <w:lang w:eastAsia="ja-JP"/>
        </w:rPr>
        <w:fldChar w:fldCharType="begin"/>
      </w:r>
      <w:r w:rsidRPr="001743D6">
        <w:rPr>
          <w:rFonts w:ascii="Segoe UI" w:hAnsi="Segoe UI" w:cs="Segoe UI"/>
          <w:lang w:eastAsia="ja-JP"/>
        </w:rPr>
        <w:instrText xml:space="preserve"> REF _Ref14325686 \h </w:instrText>
      </w:r>
      <w:r w:rsidRPr="001743D6">
        <w:rPr>
          <w:rFonts w:ascii="Segoe UI" w:hAnsi="Segoe UI" w:cs="Segoe UI"/>
          <w:lang w:eastAsia="ja-JP"/>
        </w:rPr>
      </w:r>
      <w:r w:rsidRPr="001743D6">
        <w:rPr>
          <w:rFonts w:ascii="Segoe UI" w:hAnsi="Segoe UI" w:cs="Segoe UI"/>
          <w:lang w:eastAsia="ja-JP"/>
        </w:rPr>
        <w:fldChar w:fldCharType="separate"/>
      </w:r>
      <w:r w:rsidRPr="001743D6">
        <w:rPr>
          <w:rFonts w:ascii="Segoe UI" w:hAnsi="Segoe UI" w:cs="Segoe UI"/>
        </w:rPr>
        <w:t xml:space="preserve">Table </w:t>
      </w:r>
      <w:r w:rsidRPr="001743D6">
        <w:rPr>
          <w:rFonts w:ascii="Segoe UI" w:hAnsi="Segoe UI" w:cs="Segoe UI"/>
          <w:noProof/>
        </w:rPr>
        <w:t>22</w:t>
      </w:r>
      <w:r w:rsidRPr="001743D6">
        <w:rPr>
          <w:rFonts w:ascii="Segoe UI" w:hAnsi="Segoe UI" w:cs="Segoe UI"/>
          <w:lang w:eastAsia="ja-JP"/>
        </w:rPr>
        <w:fldChar w:fldCharType="end"/>
      </w:r>
      <w:r w:rsidRPr="001743D6">
        <w:rPr>
          <w:rFonts w:ascii="Segoe UI" w:hAnsi="Segoe UI" w:cs="Segoe UI"/>
          <w:lang w:eastAsia="ja-JP"/>
        </w:rPr>
        <w:t xml:space="preserve">, forest type statistics derived from the National Forest Inventory (NFI) are presented for the Victorian RFA regions. </w:t>
      </w:r>
      <w:r w:rsidRPr="001743D6">
        <w:rPr>
          <w:rFonts w:ascii="Segoe UI" w:hAnsi="Segoe UI" w:cs="Segoe UI"/>
          <w:lang w:eastAsia="ja-JP"/>
        </w:rPr>
        <w:fldChar w:fldCharType="begin"/>
      </w:r>
      <w:r w:rsidRPr="001743D6">
        <w:rPr>
          <w:rFonts w:ascii="Segoe UI" w:hAnsi="Segoe UI" w:cs="Segoe UI"/>
          <w:lang w:eastAsia="ja-JP"/>
        </w:rPr>
        <w:instrText xml:space="preserve"> REF _Ref19787076 \h </w:instrText>
      </w:r>
      <w:r w:rsidRPr="001743D6">
        <w:rPr>
          <w:rFonts w:ascii="Segoe UI" w:hAnsi="Segoe UI" w:cs="Segoe UI"/>
          <w:lang w:eastAsia="ja-JP"/>
        </w:rPr>
      </w:r>
      <w:r w:rsidRPr="001743D6">
        <w:rPr>
          <w:rFonts w:ascii="Segoe UI" w:hAnsi="Segoe UI" w:cs="Segoe UI"/>
          <w:lang w:eastAsia="ja-JP"/>
        </w:rPr>
        <w:fldChar w:fldCharType="separate"/>
      </w:r>
      <w:r w:rsidRPr="001743D6">
        <w:rPr>
          <w:rFonts w:ascii="Segoe UI" w:hAnsi="Segoe UI" w:cs="Segoe UI"/>
        </w:rPr>
        <w:t xml:space="preserve">Table </w:t>
      </w:r>
      <w:r w:rsidRPr="001743D6">
        <w:rPr>
          <w:rFonts w:ascii="Segoe UI" w:hAnsi="Segoe UI" w:cs="Segoe UI"/>
          <w:noProof/>
        </w:rPr>
        <w:t>23</w:t>
      </w:r>
      <w:r w:rsidRPr="001743D6">
        <w:rPr>
          <w:rFonts w:ascii="Segoe UI" w:hAnsi="Segoe UI" w:cs="Segoe UI"/>
          <w:lang w:eastAsia="ja-JP"/>
        </w:rPr>
        <w:fldChar w:fldCharType="end"/>
      </w:r>
      <w:r w:rsidRPr="001743D6">
        <w:rPr>
          <w:rFonts w:ascii="Segoe UI" w:hAnsi="Segoe UI" w:cs="Segoe UI"/>
          <w:lang w:eastAsia="ja-JP"/>
        </w:rPr>
        <w:t xml:space="preserve"> presents time-series data produced by DELWP and disaggregated based on public and private tenure; however, it does not have forest type information. </w:t>
      </w:r>
    </w:p>
    <w:p w:rsidR="001743D6" w:rsidRPr="001743D6" w:rsidRDefault="001743D6" w:rsidP="001743D6">
      <w:pPr>
        <w:jc w:val="both"/>
        <w:rPr>
          <w:rFonts w:ascii="Segoe UI" w:hAnsi="Segoe UI" w:cs="Segoe UI"/>
          <w:lang w:eastAsia="ja-JP"/>
        </w:rPr>
      </w:pPr>
      <w:r w:rsidRPr="001743D6">
        <w:rPr>
          <w:rFonts w:ascii="Segoe UI" w:hAnsi="Segoe UI" w:cs="Segoe UI"/>
          <w:lang w:eastAsia="ja-JP"/>
        </w:rPr>
        <w:t xml:space="preserve">The total forest cover estimates differ between these processes. In the Victorian context, differences in mapping methodology are likely to be most pronounced in the Mallee, or in similarly naturally fragmented forest types. This is due to complexities in classifying remotely sensed imagery in non-uniform land covers. It is also important to note that the NFI dataset represents forest cover as at 2016, while the Victorian data represents forest cover as at 2013. </w:t>
      </w:r>
    </w:p>
    <w:p w:rsidR="001743D6" w:rsidRPr="001743D6" w:rsidRDefault="001743D6" w:rsidP="001743D6">
      <w:pPr>
        <w:keepNext/>
        <w:keepLines/>
        <w:spacing w:before="40" w:after="40"/>
        <w:outlineLvl w:val="4"/>
        <w:rPr>
          <w:rFonts w:ascii="Segoe UI" w:eastAsia="STZhongsong" w:hAnsi="Segoe UI" w:cs="Majalla UI"/>
          <w:i/>
          <w:color w:val="13345C"/>
          <w:lang w:eastAsia="ja-JP"/>
        </w:rPr>
      </w:pPr>
      <w:r w:rsidRPr="001743D6">
        <w:rPr>
          <w:rFonts w:ascii="Segoe UI" w:eastAsia="STZhongsong" w:hAnsi="Segoe UI" w:cs="Majalla UI"/>
          <w:i/>
          <w:color w:val="13345C"/>
          <w:lang w:eastAsia="ja-JP"/>
        </w:rPr>
        <w:t>Australia’s National Forest Inventory</w:t>
      </w:r>
    </w:p>
    <w:p w:rsidR="001743D6" w:rsidRPr="001743D6" w:rsidRDefault="001743D6" w:rsidP="001743D6">
      <w:pPr>
        <w:jc w:val="both"/>
        <w:rPr>
          <w:rFonts w:ascii="Segoe UI" w:hAnsi="Segoe UI" w:cs="Segoe UI"/>
        </w:rPr>
      </w:pPr>
      <w:r w:rsidRPr="001743D6">
        <w:rPr>
          <w:rFonts w:ascii="Segoe UI" w:hAnsi="Segoe UI" w:cs="Segoe UI"/>
        </w:rPr>
        <w:t>The definition of forest’ used in this report is derived from Australia’s NFI. It can be summarised as an area of single-stemmed woody vegetation with a dominant vegetation with height of greater than 2 metres and canopy cover greater than 20 per cent. While Victoria calculates its own forest type and area estimates through the Victorian Forest Monitoring Program (VFMP), the aggregation of the plot network does not currently allow the data to be disaggregated by RFA region. In consequence, the forest type statistics presented here are derived from the NFI area values as outlined in the ASOFR.</w:t>
      </w:r>
      <w:r w:rsidRPr="001743D6">
        <w:rPr>
          <w:rFonts w:ascii="Segoe UI" w:hAnsi="Segoe UI" w:cs="Segoe UI"/>
          <w:vertAlign w:val="superscript"/>
        </w:rPr>
        <w:footnoteReference w:id="1"/>
      </w:r>
    </w:p>
    <w:p w:rsidR="001743D6" w:rsidRPr="001743D6" w:rsidRDefault="001743D6" w:rsidP="001743D6">
      <w:pPr>
        <w:jc w:val="both"/>
        <w:rPr>
          <w:rFonts w:ascii="Segoe UI" w:hAnsi="Segoe UI" w:cs="Segoe UI"/>
        </w:rPr>
      </w:pPr>
      <w:r w:rsidRPr="001743D6">
        <w:rPr>
          <w:rFonts w:ascii="Segoe UI" w:hAnsi="Segoe UI" w:cs="Segoe UI"/>
        </w:rPr>
        <w:t xml:space="preserve">The ASOFR is a comprehensive synthesis report of national, state and territory data and information on the multiple environmental, economic and social values, benefits and services of Australia’s forests. The fifth report in the ASOFR series, </w:t>
      </w:r>
      <w:r w:rsidRPr="001743D6">
        <w:rPr>
          <w:rFonts w:ascii="Segoe UI" w:hAnsi="Segoe UI" w:cs="Segoe UI"/>
          <w:i/>
        </w:rPr>
        <w:t>Australia’s state of the forests report 2018</w:t>
      </w:r>
      <w:r w:rsidRPr="001743D6">
        <w:rPr>
          <w:rFonts w:ascii="Segoe UI" w:hAnsi="Segoe UI" w:cs="Segoe UI"/>
        </w:rPr>
        <w:t>, brings together and reports on data and information current to June 2016 (Montréal Process Implementation Group for Australia and NFI Steering Committee 2018).</w:t>
      </w:r>
    </w:p>
    <w:p w:rsidR="001743D6" w:rsidRPr="001743D6" w:rsidRDefault="001743D6" w:rsidP="001743D6">
      <w:pPr>
        <w:jc w:val="both"/>
        <w:rPr>
          <w:rFonts w:ascii="Segoe UI" w:hAnsi="Segoe UI" w:cs="Segoe UI"/>
        </w:rPr>
      </w:pPr>
      <w:r w:rsidRPr="001743D6">
        <w:rPr>
          <w:rFonts w:ascii="Segoe UI" w:hAnsi="Segoe UI" w:cs="Segoe UI"/>
        </w:rPr>
        <w:t xml:space="preserve">Assembled for ASOFR 2018, the </w:t>
      </w:r>
      <w:hyperlink r:id="rId13" w:history="1">
        <w:r w:rsidRPr="001743D6">
          <w:rPr>
            <w:rFonts w:ascii="Segoe UI" w:hAnsi="Segoe UI" w:cs="Segoe UI"/>
            <w:i/>
            <w:color w:val="0257BE"/>
          </w:rPr>
          <w:t>Forests of Australia (2018</w:t>
        </w:r>
      </w:hyperlink>
      <w:r w:rsidRPr="001743D6">
        <w:rPr>
          <w:rFonts w:ascii="Segoe UI" w:hAnsi="Segoe UI" w:cs="Segoe UI"/>
          <w:i/>
        </w:rPr>
        <w:t>)</w:t>
      </w:r>
      <w:r w:rsidRPr="001743D6">
        <w:rPr>
          <w:rFonts w:ascii="Segoe UI" w:hAnsi="Segoe UI" w:cs="Segoe UI"/>
          <w:vertAlign w:val="superscript"/>
        </w:rPr>
        <w:footnoteReference w:id="2"/>
      </w:r>
      <w:r w:rsidRPr="001743D6">
        <w:rPr>
          <w:rFonts w:ascii="Segoe UI" w:hAnsi="Segoe UI" w:cs="Segoe UI"/>
        </w:rPr>
        <w:t xml:space="preserve"> spatial dataset reports the extent and type of Australia’s forests. Forest extent is calculated using a multiple lines of evidence </w:t>
      </w:r>
      <w:hyperlink r:id="rId14" w:history="1">
        <w:r w:rsidRPr="001743D6">
          <w:rPr>
            <w:rFonts w:ascii="Segoe UI" w:hAnsi="Segoe UI" w:cs="Segoe UI"/>
            <w:color w:val="0257BE"/>
          </w:rPr>
          <w:t>(MLE) approach</w:t>
        </w:r>
      </w:hyperlink>
      <w:r w:rsidRPr="001743D6">
        <w:rPr>
          <w:rFonts w:ascii="Segoe UI" w:hAnsi="Segoe UI" w:cs="Segoe UI"/>
          <w:vertAlign w:val="superscript"/>
        </w:rPr>
        <w:footnoteReference w:id="3"/>
      </w:r>
      <w:r w:rsidRPr="001743D6">
        <w:rPr>
          <w:rFonts w:ascii="Segoe UI" w:hAnsi="Segoe UI" w:cs="Segoe UI"/>
        </w:rPr>
        <w:t xml:space="preserve"> that analyses multiple forest cover datasets from national and state sources to delineate forest extent with improved accuracy. This methodology was first used for calculating forest extent for ASOFR 2013 and was again used for ASOFR 2018. Forest typing was determined using a combination of national and state and territory vegetation information datasets. Further information on the data sources used for the MLE and forest typing can be found in Indicator 1.1a of ASOFR 2018 (Montréal Process Implementation Group for Australia and NFI Steering Committee 2018, pp. 45–74).</w:t>
      </w:r>
    </w:p>
    <w:p w:rsidR="001743D6" w:rsidRPr="001743D6" w:rsidRDefault="001743D6" w:rsidP="001743D6">
      <w:pPr>
        <w:jc w:val="both"/>
        <w:rPr>
          <w:rFonts w:ascii="Segoe UI" w:hAnsi="Segoe UI" w:cs="Segoe UI"/>
        </w:rPr>
      </w:pPr>
      <w:r w:rsidRPr="001743D6">
        <w:rPr>
          <w:rFonts w:ascii="Segoe UI" w:hAnsi="Segoe UI" w:cs="Segoe UI"/>
        </w:rPr>
        <w:t xml:space="preserve">Forests in the NFI and the </w:t>
      </w:r>
      <w:r w:rsidRPr="001743D6">
        <w:rPr>
          <w:rFonts w:ascii="Segoe UI" w:hAnsi="Segoe UI" w:cs="Segoe UI"/>
          <w:i/>
        </w:rPr>
        <w:t>Forests of Australia (2018)</w:t>
      </w:r>
      <w:r w:rsidRPr="001743D6">
        <w:rPr>
          <w:rFonts w:ascii="Segoe UI" w:hAnsi="Segoe UI" w:cs="Segoe UI"/>
        </w:rPr>
        <w:t xml:space="preserve"> dataset are classed under three broad forest categories of Native forest, Commercial plantation and Other forest. Within the Native forest category there are eight forest types that describe the dominant genera and structure types. These include Acacia, </w:t>
      </w:r>
      <w:proofErr w:type="spellStart"/>
      <w:r w:rsidRPr="001743D6">
        <w:rPr>
          <w:rFonts w:ascii="Segoe UI" w:hAnsi="Segoe UI" w:cs="Segoe UI"/>
        </w:rPr>
        <w:t>Callitris</w:t>
      </w:r>
      <w:proofErr w:type="spellEnd"/>
      <w:r w:rsidRPr="001743D6">
        <w:rPr>
          <w:rFonts w:ascii="Segoe UI" w:hAnsi="Segoe UI" w:cs="Segoe UI"/>
        </w:rPr>
        <w:t>, Casuarina, Eucalypt, Mangrove, Melaleuca and Rainforest. The eighth type – Other native forest – includes a range of less frequently occurring forest genera and native forests of unknown type. The Eucalypt forest type is further classified into 11 forest subtypes based on the form of dominant trees, mature tree height and crown cover. Further information on forest form, height and crown cover can be found in ASOFR 2018 Indicator 1.1a (ibid.).</w:t>
      </w:r>
    </w:p>
    <w:p w:rsidR="001743D6" w:rsidRPr="001743D6" w:rsidRDefault="001743D6" w:rsidP="001743D6">
      <w:pPr>
        <w:jc w:val="both"/>
        <w:rPr>
          <w:rFonts w:ascii="Segoe UI" w:hAnsi="Segoe UI" w:cs="Segoe UI"/>
        </w:rPr>
      </w:pPr>
      <w:r w:rsidRPr="001743D6">
        <w:rPr>
          <w:rFonts w:ascii="Segoe UI" w:hAnsi="Segoe UI" w:cs="Segoe UI"/>
        </w:rPr>
        <w:t>The Commercial plantation category includes three types: Softwood plantation (mostly pines), Hardwood plantation (mostly eucalypts), and mixed or unknown plantations. The Other forest category includes non-commercial plantations and planted forests.</w:t>
      </w:r>
    </w:p>
    <w:p w:rsidR="001743D6" w:rsidRPr="001743D6" w:rsidRDefault="001743D6" w:rsidP="001743D6">
      <w:pPr>
        <w:jc w:val="both"/>
        <w:rPr>
          <w:rFonts w:ascii="Segoe UI" w:hAnsi="Segoe UI" w:cs="Segoe UI"/>
        </w:rPr>
      </w:pPr>
      <w:r w:rsidRPr="001743D6">
        <w:rPr>
          <w:rFonts w:ascii="Segoe UI" w:hAnsi="Segoe UI" w:cs="Segoe UI"/>
        </w:rPr>
        <w:t>ASOFR 2018 reported 8.2 million hectares of forest occurs in Victoria, including 7.6 million hectares of Native forest, 0.41 million hectares of Commercial plantation, and 0.16 million hectares of Other forest. Of the total forest area in Victoria, 6.2 million hectares of forest occurs in the five Victoria RFA regions, with 5.6 million hectares of Native forest, 0.41 million hectares of Commercial plantation and 0.13 million hectares of Other forest. By RFA region, 1.6 million hectares of forest is in the Gippsland RFA region, 1.4 million hectares in each of the North East and West Victoria regions, 1.1 million hectares is in the East Gippsland region and 0.72 million hectares is in the Central Highlands region.</w:t>
      </w:r>
    </w:p>
    <w:p w:rsidR="001743D6" w:rsidRPr="001743D6" w:rsidRDefault="001743D6" w:rsidP="001743D6">
      <w:pPr>
        <w:jc w:val="both"/>
        <w:rPr>
          <w:rFonts w:ascii="Segoe UI" w:hAnsi="Segoe UI" w:cs="Segoe UI"/>
        </w:rPr>
      </w:pPr>
      <w:r w:rsidRPr="001743D6">
        <w:rPr>
          <w:rFonts w:ascii="Segoe UI" w:hAnsi="Segoe UI" w:cs="Segoe UI"/>
        </w:rPr>
        <w:t>The most common forest type in the Victorian RFA regions is the Eucalypt forest type with 5.4 million hectares, followed by 0.17 million hectares of the Other native forest type. By Eucalypt forest subtypes there are 2.8 million hectares of Eucalypt medium open forest and 1.3 million hectares of the Eucalypt tall open forest subtype (</w:t>
      </w:r>
      <w:r w:rsidRPr="001743D6">
        <w:rPr>
          <w:rFonts w:ascii="Segoe UI" w:hAnsi="Segoe UI" w:cs="Segoe UI"/>
        </w:rPr>
        <w:fldChar w:fldCharType="begin"/>
      </w:r>
      <w:r w:rsidRPr="001743D6">
        <w:rPr>
          <w:rFonts w:ascii="Segoe UI" w:hAnsi="Segoe UI" w:cs="Segoe UI"/>
        </w:rPr>
        <w:instrText xml:space="preserve"> REF _Ref14325686 \h  \* MERGEFORMAT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Table 22</w:t>
      </w:r>
      <w:r w:rsidRPr="001743D6">
        <w:rPr>
          <w:rFonts w:ascii="Segoe UI" w:hAnsi="Segoe UI" w:cs="Segoe UI"/>
        </w:rPr>
        <w:fldChar w:fldCharType="end"/>
      </w:r>
      <w:r w:rsidRPr="001743D6">
        <w:rPr>
          <w:rFonts w:ascii="Segoe UI" w:hAnsi="Segoe UI" w:cs="Segoe UI"/>
        </w:rPr>
        <w:t xml:space="preserve">). </w:t>
      </w:r>
    </w:p>
    <w:p w:rsidR="001743D6" w:rsidRPr="001743D6" w:rsidRDefault="001743D6" w:rsidP="001743D6">
      <w:pPr>
        <w:rPr>
          <w:rFonts w:ascii="Segoe UI" w:hAnsi="Segoe UI" w:cs="Segoe UI"/>
        </w:rPr>
      </w:pPr>
      <w:r w:rsidRPr="001743D6">
        <w:rPr>
          <w:rFonts w:ascii="Segoe UI" w:hAnsi="Segoe UI" w:cs="Segoe UI"/>
        </w:rPr>
        <w:br w:type="page"/>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7" w:name="_Ref10555642"/>
      <w:bookmarkStart w:id="8" w:name="_Ref14325686"/>
      <w:bookmarkStart w:id="9" w:name="_Toc25660806"/>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22</w:t>
      </w:r>
      <w:r w:rsidRPr="001743D6">
        <w:rPr>
          <w:rFonts w:ascii="Segoe UI Semibold" w:eastAsia="Times New Roman" w:hAnsi="Segoe UI Semibold" w:cs="Times New Roman"/>
          <w:color w:val="016295"/>
        </w:rPr>
        <w:fldChar w:fldCharType="end"/>
      </w:r>
      <w:bookmarkEnd w:id="7"/>
      <w:bookmarkEnd w:id="8"/>
      <w:r w:rsidRPr="001743D6">
        <w:rPr>
          <w:rFonts w:ascii="Segoe UI Semibold" w:eastAsia="Times New Roman" w:hAnsi="Segoe UI Semibold" w:cs="Times New Roman"/>
          <w:color w:val="016295"/>
        </w:rPr>
        <w:t>: NFI forest area in Victoria RFA regions, as at 2016</w:t>
      </w:r>
      <w:bookmarkEnd w:id="9"/>
    </w:p>
    <w:tbl>
      <w:tblPr>
        <w:tblW w:w="9981" w:type="dxa"/>
        <w:tblInd w:w="-284" w:type="dxa"/>
        <w:tblLayout w:type="fixed"/>
        <w:tblCellMar>
          <w:top w:w="11" w:type="dxa"/>
          <w:bottom w:w="11" w:type="dxa"/>
        </w:tblCellMar>
        <w:tblLook w:val="04A0" w:firstRow="1" w:lastRow="0" w:firstColumn="1" w:lastColumn="0" w:noHBand="0" w:noVBand="1"/>
      </w:tblPr>
      <w:tblGrid>
        <w:gridCol w:w="2269"/>
        <w:gridCol w:w="964"/>
        <w:gridCol w:w="964"/>
        <w:gridCol w:w="964"/>
        <w:gridCol w:w="964"/>
        <w:gridCol w:w="964"/>
        <w:gridCol w:w="964"/>
        <w:gridCol w:w="964"/>
        <w:gridCol w:w="964"/>
      </w:tblGrid>
      <w:tr w:rsidR="001743D6" w:rsidRPr="001743D6" w:rsidTr="00D06FDE">
        <w:trPr>
          <w:trHeight w:val="170"/>
        </w:trPr>
        <w:tc>
          <w:tcPr>
            <w:tcW w:w="2269" w:type="dxa"/>
            <w:shd w:val="clear" w:color="auto" w:fill="E2EFD9" w:themeFill="accent6" w:themeFillTint="33"/>
            <w:tcMar>
              <w:top w:w="28" w:type="dxa"/>
              <w:bottom w:w="28" w:type="dxa"/>
            </w:tcMar>
          </w:tcPr>
          <w:p w:rsidR="001743D6" w:rsidRPr="001743D6" w:rsidRDefault="001743D6" w:rsidP="001743D6">
            <w:pPr>
              <w:spacing w:after="0"/>
              <w:rPr>
                <w:rFonts w:ascii="Segoe UI" w:hAnsi="Segoe UI" w:cs="Segoe UI"/>
                <w:b/>
                <w:bCs/>
                <w:sz w:val="19"/>
                <w:szCs w:val="19"/>
                <w:lang w:eastAsia="en-AU"/>
              </w:rPr>
            </w:pPr>
          </w:p>
        </w:tc>
        <w:tc>
          <w:tcPr>
            <w:tcW w:w="7712" w:type="dxa"/>
            <w:gridSpan w:val="8"/>
            <w:shd w:val="clear" w:color="auto" w:fill="E2EFD9" w:themeFill="accent6" w:themeFillTint="33"/>
            <w:noWrap/>
            <w:tcMar>
              <w:top w:w="28" w:type="dxa"/>
              <w:bottom w:w="28" w:type="dxa"/>
            </w:tcMar>
            <w:vAlign w:val="bottom"/>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Area ('000 ha)</w:t>
            </w:r>
          </w:p>
        </w:tc>
      </w:tr>
      <w:tr w:rsidR="001743D6" w:rsidRPr="001743D6" w:rsidTr="00D06FDE">
        <w:trPr>
          <w:trHeight w:val="170"/>
        </w:trPr>
        <w:tc>
          <w:tcPr>
            <w:tcW w:w="2269" w:type="dxa"/>
            <w:vMerge w:val="restart"/>
            <w:shd w:val="clear" w:color="auto" w:fill="E2EFD9" w:themeFill="accent6" w:themeFillTint="33"/>
            <w:tcMar>
              <w:top w:w="28" w:type="dxa"/>
              <w:bottom w:w="57" w:type="dxa"/>
            </w:tcMar>
            <w:vAlign w:val="bottom"/>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NFI forest type</w:t>
            </w:r>
            <w:r w:rsidRPr="001743D6">
              <w:rPr>
                <w:rFonts w:ascii="Segoe UI" w:eastAsia="Calibri" w:hAnsi="Segoe UI" w:cs="Calibri"/>
                <w:sz w:val="19"/>
                <w:szCs w:val="19"/>
                <w:lang w:eastAsia="en-AU"/>
              </w:rPr>
              <w:br/>
              <w:t>Forest category</w:t>
            </w:r>
          </w:p>
        </w:tc>
        <w:tc>
          <w:tcPr>
            <w:tcW w:w="5784" w:type="dxa"/>
            <w:gridSpan w:val="6"/>
            <w:tcBorders>
              <w:bottom w:val="single" w:sz="4" w:space="0" w:color="7F7F7F" w:themeColor="text1" w:themeTint="80"/>
            </w:tcBorders>
            <w:shd w:val="clear" w:color="auto" w:fill="E2EFD9" w:themeFill="accent6" w:themeFillTint="33"/>
            <w:noWrap/>
            <w:tcMar>
              <w:top w:w="28" w:type="dxa"/>
              <w:bottom w:w="57" w:type="dxa"/>
            </w:tcMar>
            <w:vAlign w:val="bottom"/>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Forest, by RFA region</w:t>
            </w:r>
            <w:r w:rsidRPr="001743D6">
              <w:rPr>
                <w:rFonts w:ascii="Segoe UI" w:eastAsia="Calibri" w:hAnsi="Segoe UI" w:cs="Calibri"/>
                <w:position w:val="8"/>
                <w:sz w:val="19"/>
                <w:szCs w:val="19"/>
                <w:lang w:eastAsia="en-AU"/>
              </w:rPr>
              <w:t>a</w:t>
            </w:r>
            <w:r w:rsidRPr="001743D6" w:rsidDel="00F2579F">
              <w:rPr>
                <w:rFonts w:ascii="Segoe UI" w:eastAsia="Calibri" w:hAnsi="Segoe UI" w:cs="Calibri"/>
                <w:sz w:val="19"/>
                <w:szCs w:val="19"/>
                <w:lang w:eastAsia="en-AU"/>
              </w:rPr>
              <w:t xml:space="preserve"> </w:t>
            </w:r>
          </w:p>
        </w:tc>
        <w:tc>
          <w:tcPr>
            <w:tcW w:w="964" w:type="dxa"/>
            <w:shd w:val="clear" w:color="auto" w:fill="E2EFD9" w:themeFill="accent6" w:themeFillTint="33"/>
            <w:vAlign w:val="bottom"/>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964" w:type="dxa"/>
            <w:shd w:val="clear" w:color="auto" w:fill="E2EFD9" w:themeFill="accent6" w:themeFillTint="33"/>
            <w:vAlign w:val="bottom"/>
          </w:tcPr>
          <w:p w:rsidR="001743D6" w:rsidRPr="001743D6" w:rsidRDefault="001743D6" w:rsidP="001743D6">
            <w:pPr>
              <w:spacing w:after="0" w:line="240" w:lineRule="auto"/>
              <w:jc w:val="center"/>
              <w:rPr>
                <w:rFonts w:ascii="Segoe UI" w:eastAsia="Calibri" w:hAnsi="Segoe UI" w:cs="Calibri"/>
                <w:sz w:val="19"/>
                <w:szCs w:val="19"/>
                <w:lang w:eastAsia="en-AU"/>
              </w:rPr>
            </w:pPr>
          </w:p>
        </w:tc>
      </w:tr>
      <w:tr w:rsidR="001743D6" w:rsidRPr="001743D6" w:rsidTr="00D06FDE">
        <w:trPr>
          <w:trHeight w:val="639"/>
        </w:trPr>
        <w:tc>
          <w:tcPr>
            <w:tcW w:w="2269" w:type="dxa"/>
            <w:vMerge/>
            <w:tcBorders>
              <w:bottom w:val="single" w:sz="8" w:space="0" w:color="auto"/>
            </w:tcBorders>
            <w:shd w:val="clear" w:color="auto" w:fill="E2EFD9" w:themeFill="accent6" w:themeFillTint="33"/>
            <w:tcMar>
              <w:top w:w="28" w:type="dxa"/>
              <w:bottom w:w="57" w:type="dxa"/>
            </w:tcMar>
            <w:hideMark/>
          </w:tcPr>
          <w:p w:rsidR="001743D6" w:rsidRPr="001743D6" w:rsidRDefault="001743D6" w:rsidP="001743D6">
            <w:pPr>
              <w:spacing w:after="0" w:line="240" w:lineRule="auto"/>
              <w:rPr>
                <w:rFonts w:ascii="Calibri" w:eastAsia="STZhongsong" w:hAnsi="Calibri" w:cs="Segoe UI"/>
                <w:sz w:val="19"/>
                <w:szCs w:val="19"/>
                <w:lang w:eastAsia="ko-KR"/>
              </w:rPr>
            </w:pPr>
          </w:p>
        </w:tc>
        <w:tc>
          <w:tcPr>
            <w:tcW w:w="964" w:type="dxa"/>
            <w:tcBorders>
              <w:top w:val="single" w:sz="4" w:space="0" w:color="7F7F7F" w:themeColor="text1" w:themeTint="80"/>
              <w:bottom w:val="single" w:sz="8" w:space="0" w:color="auto"/>
            </w:tcBorders>
            <w:shd w:val="clear" w:color="auto" w:fill="E2EFD9" w:themeFill="accent6" w:themeFillTint="33"/>
            <w:noWrap/>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964" w:type="dxa"/>
            <w:tcBorders>
              <w:top w:val="single" w:sz="4" w:space="0" w:color="7F7F7F" w:themeColor="text1" w:themeTint="80"/>
              <w:bottom w:val="single" w:sz="8" w:space="0" w:color="auto"/>
            </w:tcBorders>
            <w:shd w:val="clear" w:color="auto" w:fill="E2EFD9" w:themeFill="accent6" w:themeFillTint="33"/>
            <w:noWrap/>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964" w:type="dxa"/>
            <w:tcBorders>
              <w:top w:val="single" w:sz="4" w:space="0" w:color="7F7F7F" w:themeColor="text1" w:themeTint="80"/>
              <w:bottom w:val="single" w:sz="8" w:space="0" w:color="auto"/>
            </w:tcBorders>
            <w:shd w:val="clear" w:color="auto" w:fill="E2EFD9" w:themeFill="accent6" w:themeFillTint="33"/>
            <w:noWrap/>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964" w:type="dxa"/>
            <w:tcBorders>
              <w:top w:val="single" w:sz="4" w:space="0" w:color="7F7F7F" w:themeColor="text1" w:themeTint="80"/>
              <w:bottom w:val="single" w:sz="8" w:space="0" w:color="auto"/>
            </w:tcBorders>
            <w:shd w:val="clear" w:color="auto" w:fill="E2EFD9" w:themeFill="accent6" w:themeFillTint="33"/>
            <w:noWrap/>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964" w:type="dxa"/>
            <w:tcBorders>
              <w:top w:val="single" w:sz="4" w:space="0" w:color="7F7F7F" w:themeColor="text1" w:themeTint="80"/>
              <w:bottom w:val="single" w:sz="8" w:space="0" w:color="auto"/>
            </w:tcBorders>
            <w:shd w:val="clear" w:color="auto" w:fill="E2EFD9" w:themeFill="accent6" w:themeFillTint="33"/>
            <w:noWrap/>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West Victoria</w:t>
            </w:r>
          </w:p>
        </w:tc>
        <w:tc>
          <w:tcPr>
            <w:tcW w:w="964" w:type="dxa"/>
            <w:tcBorders>
              <w:top w:val="single" w:sz="4" w:space="0" w:color="7F7F7F" w:themeColor="text1" w:themeTint="80"/>
              <w:bottom w:val="single" w:sz="8" w:space="0" w:color="auto"/>
            </w:tcBorders>
            <w:shd w:val="clear" w:color="auto" w:fill="E2EFD9" w:themeFill="accent6" w:themeFillTint="33"/>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Total in RFA regions</w:t>
            </w:r>
          </w:p>
        </w:tc>
        <w:tc>
          <w:tcPr>
            <w:tcW w:w="964" w:type="dxa"/>
            <w:tcBorders>
              <w:bottom w:val="single" w:sz="8" w:space="0" w:color="auto"/>
            </w:tcBorders>
            <w:shd w:val="clear" w:color="auto" w:fill="E2EFD9" w:themeFill="accent6" w:themeFillTint="33"/>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Total not in RFA regions</w:t>
            </w:r>
          </w:p>
        </w:tc>
        <w:tc>
          <w:tcPr>
            <w:tcW w:w="964" w:type="dxa"/>
            <w:tcBorders>
              <w:bottom w:val="single" w:sz="8" w:space="0" w:color="auto"/>
            </w:tcBorders>
            <w:shd w:val="clear" w:color="auto" w:fill="E2EFD9" w:themeFill="accent6" w:themeFillTint="33"/>
            <w:tcMar>
              <w:top w:w="28" w:type="dxa"/>
              <w:left w:w="57" w:type="dxa"/>
              <w:bottom w:w="57" w:type="dxa"/>
              <w:right w:w="57" w:type="dxa"/>
            </w:tcMar>
            <w:vAlign w:val="bottom"/>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Total in Victoria</w:t>
            </w:r>
          </w:p>
        </w:tc>
      </w:tr>
      <w:tr w:rsidR="001743D6" w:rsidRPr="001743D6" w:rsidTr="00D06FDE">
        <w:trPr>
          <w:trHeight w:val="170"/>
        </w:trPr>
        <w:tc>
          <w:tcPr>
            <w:tcW w:w="9981" w:type="dxa"/>
            <w:gridSpan w:val="9"/>
            <w:tcBorders>
              <w:top w:val="single" w:sz="8" w:space="0" w:color="auto"/>
              <w:bottom w:val="single" w:sz="8" w:space="0" w:color="auto"/>
            </w:tcBorders>
            <w:shd w:val="clear" w:color="auto" w:fill="D9D9D9" w:themeFill="background1" w:themeFillShade="D9"/>
            <w:noWrap/>
            <w:vAlign w:val="center"/>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Native forest</w:t>
            </w:r>
          </w:p>
        </w:tc>
      </w:tr>
      <w:tr w:rsidR="001743D6" w:rsidRPr="001743D6" w:rsidTr="00D06FDE">
        <w:trPr>
          <w:trHeight w:val="170"/>
        </w:trPr>
        <w:tc>
          <w:tcPr>
            <w:tcW w:w="2269" w:type="dxa"/>
            <w:tcBorders>
              <w:top w:val="single" w:sz="8" w:space="0" w:color="auto"/>
            </w:tcBorders>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Acacia</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24</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w:t>
            </w:r>
          </w:p>
        </w:tc>
        <w:tc>
          <w:tcPr>
            <w:tcW w:w="964" w:type="dxa"/>
            <w:tcBorders>
              <w:top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tcBorders>
              <w:top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37</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proofErr w:type="spellStart"/>
            <w:r w:rsidRPr="001743D6">
              <w:rPr>
                <w:rFonts w:ascii="Segoe UI" w:eastAsia="Calibri" w:hAnsi="Segoe UI" w:cs="Calibri"/>
                <w:sz w:val="19"/>
                <w:szCs w:val="19"/>
                <w:lang w:eastAsia="en-AU"/>
              </w:rPr>
              <w:t>Callitris</w:t>
            </w:r>
            <w:proofErr w:type="spellEnd"/>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Casuarina</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47</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48</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Eucalypt</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688</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1,031</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1,416</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1,270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973</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5,378</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1,797</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7,175</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Eucalypt </w:t>
            </w:r>
            <w:proofErr w:type="spellStart"/>
            <w:r w:rsidRPr="001743D6">
              <w:rPr>
                <w:rFonts w:ascii="Segoe UI" w:eastAsia="Calibri" w:hAnsi="Segoe UI" w:cs="Calibri"/>
                <w:sz w:val="19"/>
                <w:szCs w:val="19"/>
                <w:lang w:eastAsia="en-AU"/>
              </w:rPr>
              <w:t>mallee</w:t>
            </w:r>
            <w:proofErr w:type="spellEnd"/>
            <w:r w:rsidRPr="001743D6">
              <w:rPr>
                <w:rFonts w:ascii="Segoe UI" w:eastAsia="Calibri" w:hAnsi="Segoe UI" w:cs="Calibri"/>
                <w:sz w:val="19"/>
                <w:szCs w:val="19"/>
                <w:lang w:eastAsia="en-AU"/>
              </w:rPr>
              <w:t xml:space="preserve"> open</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Eucalypt </w:t>
            </w:r>
            <w:proofErr w:type="spellStart"/>
            <w:r w:rsidRPr="001743D6">
              <w:rPr>
                <w:rFonts w:ascii="Segoe UI" w:eastAsia="Calibri" w:hAnsi="Segoe UI" w:cs="Calibri"/>
                <w:sz w:val="19"/>
                <w:szCs w:val="19"/>
                <w:lang w:eastAsia="en-AU"/>
              </w:rPr>
              <w:t>mallee</w:t>
            </w:r>
            <w:proofErr w:type="spellEnd"/>
            <w:r w:rsidRPr="001743D6">
              <w:rPr>
                <w:rFonts w:ascii="Segoe UI" w:eastAsia="Calibri" w:hAnsi="Segoe UI" w:cs="Calibri"/>
                <w:sz w:val="19"/>
                <w:szCs w:val="19"/>
                <w:lang w:eastAsia="en-AU"/>
              </w:rPr>
              <w:t xml:space="preserve"> woodland</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52</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53</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1,227</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1,280</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low closed</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low open</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66</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69</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low woodland</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medium closed</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25</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96</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97</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medium open</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349</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457</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798</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745</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414</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2,762</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331</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3,092</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medium woodland</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221</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91</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377</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835</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202</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1,036</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tall closed</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18</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26</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28</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13</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116</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117</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tall open</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239</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398</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317</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335</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58</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1,348</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1,367</w:t>
            </w:r>
          </w:p>
        </w:tc>
      </w:tr>
      <w:tr w:rsidR="001743D6" w:rsidRPr="001743D6" w:rsidTr="00D06FDE">
        <w:trPr>
          <w:trHeight w:val="170"/>
        </w:trPr>
        <w:tc>
          <w:tcPr>
            <w:tcW w:w="2269" w:type="dxa"/>
            <w:shd w:val="clear" w:color="auto" w:fill="auto"/>
            <w:noWrap/>
          </w:tcPr>
          <w:p w:rsidR="001743D6" w:rsidRPr="001743D6" w:rsidRDefault="001743D6" w:rsidP="001743D6">
            <w:pPr>
              <w:spacing w:before="20" w:after="0" w:line="240" w:lineRule="auto"/>
              <w:ind w:left="284"/>
              <w:rPr>
                <w:rFonts w:ascii="Segoe UI" w:eastAsia="Calibri" w:hAnsi="Segoe UI" w:cs="Calibri"/>
                <w:sz w:val="19"/>
                <w:szCs w:val="19"/>
                <w:lang w:eastAsia="en-AU"/>
              </w:rPr>
            </w:pPr>
            <w:r w:rsidRPr="001743D6">
              <w:rPr>
                <w:rFonts w:ascii="Segoe UI" w:eastAsia="Calibri" w:hAnsi="Segoe UI" w:cs="Calibri"/>
                <w:sz w:val="19"/>
                <w:szCs w:val="19"/>
                <w:lang w:eastAsia="en-AU"/>
              </w:rPr>
              <w:t>Eucalypt tall woodland</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w:t>
            </w:r>
          </w:p>
        </w:tc>
        <w:tc>
          <w:tcPr>
            <w:tcW w:w="964" w:type="dxa"/>
            <w:shd w:val="clear" w:color="auto" w:fill="F2F2F2"/>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72</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auto"/>
            <w:noWrap/>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73</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Mangrove</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Melaleuca</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Rainforest</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Other native forest</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55</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65</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167</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155</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322</w:t>
            </w:r>
          </w:p>
        </w:tc>
      </w:tr>
      <w:tr w:rsidR="001743D6" w:rsidRPr="001743D6" w:rsidTr="00D06FDE">
        <w:trPr>
          <w:trHeight w:val="170"/>
        </w:trPr>
        <w:tc>
          <w:tcPr>
            <w:tcW w:w="2269" w:type="dxa"/>
            <w:tcBorders>
              <w:bottom w:val="single" w:sz="8" w:space="0" w:color="auto"/>
            </w:tcBorders>
            <w:shd w:val="clear" w:color="auto" w:fill="auto"/>
            <w:noWrap/>
            <w:hideMark/>
          </w:tcPr>
          <w:p w:rsidR="001743D6" w:rsidRPr="001743D6" w:rsidRDefault="001743D6" w:rsidP="001743D6">
            <w:pPr>
              <w:spacing w:before="20" w:after="0" w:line="240" w:lineRule="auto"/>
              <w:rPr>
                <w:rFonts w:ascii="Segoe UI" w:eastAsia="Calibri" w:hAnsi="Segoe UI" w:cs="Calibri"/>
                <w:b/>
                <w:sz w:val="19"/>
                <w:szCs w:val="19"/>
                <w:lang w:eastAsia="en-AU"/>
              </w:rPr>
            </w:pPr>
            <w:r w:rsidRPr="001743D6">
              <w:rPr>
                <w:rFonts w:ascii="Segoe UI" w:eastAsia="Calibri" w:hAnsi="Segoe UI" w:cs="Calibri"/>
                <w:b/>
                <w:sz w:val="19"/>
                <w:szCs w:val="19"/>
                <w:lang w:eastAsia="en-AU"/>
              </w:rPr>
              <w:t>Total native forest</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703</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1,104</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1,483</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1,277</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1,073</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5,640</w:t>
            </w:r>
          </w:p>
        </w:tc>
        <w:tc>
          <w:tcPr>
            <w:tcW w:w="964" w:type="dxa"/>
            <w:tcBorders>
              <w:bottom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2,004</w:t>
            </w:r>
          </w:p>
        </w:tc>
        <w:tc>
          <w:tcPr>
            <w:tcW w:w="964" w:type="dxa"/>
            <w:tcBorders>
              <w:bottom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7,644</w:t>
            </w:r>
          </w:p>
        </w:tc>
      </w:tr>
      <w:tr w:rsidR="001743D6" w:rsidRPr="001743D6" w:rsidTr="00D06FDE">
        <w:trPr>
          <w:trHeight w:val="170"/>
        </w:trPr>
        <w:tc>
          <w:tcPr>
            <w:tcW w:w="9981" w:type="dxa"/>
            <w:gridSpan w:val="9"/>
            <w:tcBorders>
              <w:top w:val="single" w:sz="8" w:space="0" w:color="auto"/>
              <w:bottom w:val="single" w:sz="8" w:space="0" w:color="auto"/>
            </w:tcBorders>
            <w:shd w:val="clear" w:color="auto" w:fill="D9D9D9" w:themeFill="background1" w:themeFillShade="D9"/>
            <w:noWrap/>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Commercial plantation</w:t>
            </w:r>
          </w:p>
        </w:tc>
      </w:tr>
      <w:tr w:rsidR="001743D6" w:rsidRPr="001743D6" w:rsidTr="00D06FDE">
        <w:trPr>
          <w:trHeight w:val="170"/>
        </w:trPr>
        <w:tc>
          <w:tcPr>
            <w:tcW w:w="2269" w:type="dxa"/>
            <w:tcBorders>
              <w:top w:val="single" w:sz="8" w:space="0" w:color="auto"/>
            </w:tcBorders>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Hardwood plantation</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29</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158</w:t>
            </w:r>
          </w:p>
        </w:tc>
        <w:tc>
          <w:tcPr>
            <w:tcW w:w="964" w:type="dxa"/>
            <w:tcBorders>
              <w:top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197</w:t>
            </w:r>
          </w:p>
        </w:tc>
        <w:tc>
          <w:tcPr>
            <w:tcW w:w="964" w:type="dxa"/>
            <w:tcBorders>
              <w:top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tcBorders>
              <w:top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198</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Softwood plantation</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59</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53</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92</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215</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215</w:t>
            </w:r>
          </w:p>
        </w:tc>
      </w:tr>
      <w:tr w:rsidR="001743D6" w:rsidRPr="001743D6" w:rsidTr="00D06FDE">
        <w:trPr>
          <w:trHeight w:val="170"/>
        </w:trPr>
        <w:tc>
          <w:tcPr>
            <w:tcW w:w="2269" w:type="dxa"/>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Unknown or mixed species</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F2F2F2"/>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964" w:type="dxa"/>
            <w:shd w:val="clear" w:color="auto" w:fill="auto"/>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w:t>
            </w:r>
          </w:p>
        </w:tc>
      </w:tr>
      <w:tr w:rsidR="001743D6" w:rsidRPr="001743D6" w:rsidTr="00D06FDE">
        <w:trPr>
          <w:trHeight w:val="170"/>
        </w:trPr>
        <w:tc>
          <w:tcPr>
            <w:tcW w:w="2269" w:type="dxa"/>
            <w:tcBorders>
              <w:bottom w:val="single" w:sz="8" w:space="0" w:color="auto"/>
            </w:tcBorders>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b/>
                <w:sz w:val="19"/>
                <w:szCs w:val="19"/>
                <w:lang w:eastAsia="en-AU"/>
              </w:rPr>
              <w:t>Total commercial plantation</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12</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89</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56</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250</w:t>
            </w:r>
          </w:p>
        </w:tc>
        <w:tc>
          <w:tcPr>
            <w:tcW w:w="964" w:type="dxa"/>
            <w:tcBorders>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412</w:t>
            </w:r>
          </w:p>
        </w:tc>
        <w:tc>
          <w:tcPr>
            <w:tcW w:w="964" w:type="dxa"/>
            <w:tcBorders>
              <w:bottom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w:t>
            </w:r>
          </w:p>
        </w:tc>
        <w:tc>
          <w:tcPr>
            <w:tcW w:w="964" w:type="dxa"/>
            <w:tcBorders>
              <w:bottom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414</w:t>
            </w:r>
          </w:p>
        </w:tc>
      </w:tr>
      <w:tr w:rsidR="001743D6" w:rsidRPr="001743D6" w:rsidTr="00D06FDE">
        <w:trPr>
          <w:trHeight w:val="170"/>
        </w:trPr>
        <w:tc>
          <w:tcPr>
            <w:tcW w:w="9981" w:type="dxa"/>
            <w:gridSpan w:val="9"/>
            <w:tcBorders>
              <w:top w:val="single" w:sz="8" w:space="0" w:color="auto"/>
              <w:bottom w:val="single" w:sz="8" w:space="0" w:color="auto"/>
            </w:tcBorders>
            <w:shd w:val="clear" w:color="auto" w:fill="D9D9D9" w:themeFill="background1" w:themeFillShade="D9"/>
            <w:noWrap/>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Other forest</w:t>
            </w:r>
          </w:p>
        </w:tc>
      </w:tr>
      <w:tr w:rsidR="001743D6" w:rsidRPr="001743D6" w:rsidTr="00D06FDE">
        <w:trPr>
          <w:trHeight w:val="170"/>
        </w:trPr>
        <w:tc>
          <w:tcPr>
            <w:tcW w:w="2269" w:type="dxa"/>
            <w:tcBorders>
              <w:top w:val="single" w:sz="8" w:space="0" w:color="auto"/>
              <w:bottom w:val="single" w:sz="8" w:space="0" w:color="auto"/>
            </w:tcBorders>
            <w:shd w:val="clear" w:color="auto" w:fill="auto"/>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b/>
                <w:sz w:val="19"/>
                <w:szCs w:val="19"/>
                <w:lang w:eastAsia="en-AU"/>
              </w:rPr>
              <w:t>Total other forest</w:t>
            </w:r>
          </w:p>
        </w:tc>
        <w:tc>
          <w:tcPr>
            <w:tcW w:w="964" w:type="dxa"/>
            <w:tcBorders>
              <w:top w:val="single" w:sz="8" w:space="0" w:color="auto"/>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8</w:t>
            </w:r>
          </w:p>
        </w:tc>
        <w:tc>
          <w:tcPr>
            <w:tcW w:w="964" w:type="dxa"/>
            <w:tcBorders>
              <w:top w:val="single" w:sz="8" w:space="0" w:color="auto"/>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w:t>
            </w:r>
          </w:p>
        </w:tc>
        <w:tc>
          <w:tcPr>
            <w:tcW w:w="964" w:type="dxa"/>
            <w:tcBorders>
              <w:top w:val="single" w:sz="8" w:space="0" w:color="auto"/>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26</w:t>
            </w:r>
          </w:p>
        </w:tc>
        <w:tc>
          <w:tcPr>
            <w:tcW w:w="964" w:type="dxa"/>
            <w:tcBorders>
              <w:top w:val="single" w:sz="8" w:space="0" w:color="auto"/>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18</w:t>
            </w:r>
          </w:p>
        </w:tc>
        <w:tc>
          <w:tcPr>
            <w:tcW w:w="964" w:type="dxa"/>
            <w:tcBorders>
              <w:top w:val="single" w:sz="8" w:space="0" w:color="auto"/>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80</w:t>
            </w:r>
          </w:p>
        </w:tc>
        <w:tc>
          <w:tcPr>
            <w:tcW w:w="964" w:type="dxa"/>
            <w:tcBorders>
              <w:top w:val="single" w:sz="8" w:space="0" w:color="auto"/>
              <w:bottom w:val="single" w:sz="8" w:space="0" w:color="auto"/>
            </w:tcBorders>
            <w:shd w:val="clear" w:color="auto" w:fill="F2F2F2"/>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134</w:t>
            </w:r>
          </w:p>
        </w:tc>
        <w:tc>
          <w:tcPr>
            <w:tcW w:w="964" w:type="dxa"/>
            <w:tcBorders>
              <w:top w:val="single" w:sz="8" w:space="0" w:color="auto"/>
              <w:bottom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28</w:t>
            </w:r>
          </w:p>
        </w:tc>
        <w:tc>
          <w:tcPr>
            <w:tcW w:w="964" w:type="dxa"/>
            <w:tcBorders>
              <w:top w:val="single" w:sz="8" w:space="0" w:color="auto"/>
              <w:bottom w:val="single" w:sz="8" w:space="0" w:color="auto"/>
            </w:tcBorders>
            <w:shd w:val="clear" w:color="auto" w:fill="auto"/>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162</w:t>
            </w:r>
          </w:p>
        </w:tc>
      </w:tr>
      <w:tr w:rsidR="001743D6" w:rsidRPr="001743D6" w:rsidTr="00D06FDE">
        <w:trPr>
          <w:trHeight w:val="170"/>
        </w:trPr>
        <w:tc>
          <w:tcPr>
            <w:tcW w:w="2269"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rPr>
                <w:rFonts w:ascii="Segoe UI" w:eastAsia="Calibri" w:hAnsi="Segoe UI" w:cs="Calibri"/>
                <w:b/>
                <w:sz w:val="19"/>
                <w:szCs w:val="19"/>
                <w:lang w:eastAsia="en-AU"/>
              </w:rPr>
            </w:pPr>
            <w:r w:rsidRPr="001743D6">
              <w:rPr>
                <w:rFonts w:ascii="Segoe UI" w:eastAsia="Calibri" w:hAnsi="Segoe UI" w:cs="Calibri"/>
                <w:b/>
                <w:sz w:val="19"/>
                <w:szCs w:val="19"/>
                <w:lang w:eastAsia="en-AU"/>
              </w:rPr>
              <w:t>Total all forest types</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723</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1,113</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1,598</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1,350</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1,403</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6,187</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2,034</w:t>
            </w:r>
          </w:p>
        </w:tc>
        <w:tc>
          <w:tcPr>
            <w:tcW w:w="964" w:type="dxa"/>
            <w:tcBorders>
              <w:top w:val="single" w:sz="8" w:space="0" w:color="auto"/>
              <w:bottom w:val="single" w:sz="8" w:space="0" w:color="auto"/>
            </w:tcBorders>
            <w:shd w:val="clear" w:color="auto" w:fill="BFBFBF" w:themeFill="background1" w:themeFillShade="BF"/>
            <w:noWrap/>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8,220</w:t>
            </w:r>
          </w:p>
        </w:tc>
      </w:tr>
    </w:tbl>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a</w:t>
      </w:r>
      <w:r w:rsidRPr="001743D6">
        <w:rPr>
          <w:rFonts w:ascii="Segoe UI" w:eastAsia="STZhongsong" w:hAnsi="Segoe UI" w:cs="Segoe UI"/>
          <w:bCs/>
          <w:sz w:val="18"/>
          <w:szCs w:val="18"/>
          <w:lang w:eastAsia="ko-KR"/>
        </w:rPr>
        <w:tab/>
        <w:t>RFA region boundary data supplied by Victoria DELWP.</w:t>
      </w: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Notes: </w:t>
      </w:r>
      <w:r w:rsidRPr="001743D6">
        <w:rPr>
          <w:rFonts w:ascii="Segoe UI" w:eastAsia="STZhongsong" w:hAnsi="Segoe UI" w:cs="Segoe UI"/>
          <w:bCs/>
          <w:sz w:val="18"/>
          <w:szCs w:val="18"/>
          <w:lang w:eastAsia="ko-KR"/>
        </w:rPr>
        <w:tab/>
        <w:t>Totals may not tally due to rounding.</w:t>
      </w: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ab/>
      </w:r>
      <w:r w:rsidRPr="001743D6">
        <w:rPr>
          <w:rFonts w:ascii="Segoe UI" w:eastAsia="STZhongsong" w:hAnsi="Segoe UI" w:cs="Segoe UI"/>
          <w:bCs/>
          <w:sz w:val="18"/>
          <w:szCs w:val="18"/>
          <w:lang w:eastAsia="ko-KR"/>
        </w:rPr>
        <w:tab/>
        <w:t>Area derived by ABARES from Forests of Australia (2018) dataset.</w:t>
      </w: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Forest cover change</w:t>
      </w:r>
    </w:p>
    <w:p w:rsidR="001743D6" w:rsidRPr="001743D6" w:rsidRDefault="001743D6" w:rsidP="001743D6">
      <w:pPr>
        <w:jc w:val="both"/>
        <w:rPr>
          <w:rFonts w:ascii="Segoe UI" w:hAnsi="Segoe UI" w:cs="Segoe UI"/>
        </w:rPr>
      </w:pPr>
      <w:r w:rsidRPr="001743D6">
        <w:rPr>
          <w:rFonts w:ascii="Segoe UI" w:hAnsi="Segoe UI" w:cs="Segoe UI"/>
        </w:rPr>
        <w:t xml:space="preserve">Forest cover change estimates were made as part of the VSOFR process over two time periods, 2009 and 2013. These figures were published in the 2013 and 2018 VSOFRs respectively. </w:t>
      </w:r>
    </w:p>
    <w:p w:rsidR="001743D6" w:rsidRPr="001743D6" w:rsidRDefault="001743D6" w:rsidP="001743D6">
      <w:pPr>
        <w:jc w:val="both"/>
        <w:rPr>
          <w:rFonts w:ascii="Segoe UI" w:hAnsi="Segoe UI" w:cs="Segoe UI"/>
        </w:rPr>
      </w:pPr>
      <w:r w:rsidRPr="001743D6">
        <w:rPr>
          <w:rFonts w:ascii="Segoe UI" w:hAnsi="Segoe UI" w:cs="Segoe UI"/>
        </w:rPr>
        <w:t xml:space="preserve">Positive gains were shown in all RFA regions except the North East. Gains in other areas were attributed to regrowth from successive mega-fires in the decade to 2010. It is important to note that these forest area change figures are not related to the forest area described above and in </w:t>
      </w:r>
      <w:r w:rsidRPr="001743D6">
        <w:rPr>
          <w:rFonts w:ascii="Segoe UI" w:hAnsi="Segoe UI" w:cs="Segoe UI"/>
        </w:rPr>
        <w:fldChar w:fldCharType="begin"/>
      </w:r>
      <w:r w:rsidRPr="001743D6">
        <w:rPr>
          <w:rFonts w:ascii="Segoe UI" w:hAnsi="Segoe UI" w:cs="Segoe UI"/>
        </w:rPr>
        <w:instrText xml:space="preserve"> REF _Ref14325686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Table </w:t>
      </w:r>
      <w:r w:rsidRPr="001743D6">
        <w:rPr>
          <w:rFonts w:ascii="Segoe UI" w:hAnsi="Segoe UI" w:cs="Segoe UI"/>
          <w:noProof/>
        </w:rPr>
        <w:t>22</w:t>
      </w:r>
      <w:r w:rsidRPr="001743D6">
        <w:rPr>
          <w:rFonts w:ascii="Segoe UI" w:hAnsi="Segoe UI" w:cs="Segoe UI"/>
        </w:rPr>
        <w:fldChar w:fldCharType="end"/>
      </w:r>
      <w:r w:rsidRPr="001743D6">
        <w:rPr>
          <w:rFonts w:ascii="Segoe UI" w:hAnsi="Segoe UI" w:cs="Segoe UI"/>
        </w:rPr>
        <w:t xml:space="preserve"> and vary on account of the different processes and methodologies used to create the analysis. </w:t>
      </w:r>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Area of forest, by tenure</w:t>
      </w:r>
    </w:p>
    <w:p w:rsidR="001743D6" w:rsidRPr="001743D6" w:rsidRDefault="001743D6" w:rsidP="001743D6">
      <w:pPr>
        <w:jc w:val="both"/>
        <w:rPr>
          <w:rFonts w:ascii="Segoe UI" w:hAnsi="Segoe UI" w:cs="Segoe UI"/>
        </w:rPr>
      </w:pPr>
      <w:bookmarkStart w:id="10" w:name="_Ref11315043"/>
      <w:r w:rsidRPr="001743D6">
        <w:rPr>
          <w:rFonts w:ascii="Segoe UI" w:hAnsi="Segoe UI" w:cs="Segoe UI"/>
        </w:rPr>
        <w:t xml:space="preserve">According to the Victorian forest cover assessment, forest on public land accounts for nearly 6.5 million hectares, with about 1.2 million hectares of forest on private land. Of public land forest, almost half (47 per cent per cent) is in State forests and almost half (47 per cent per cent) is in land tenures focused on conservation. Approximately 77 per cent of forests are located within the RFA regions. </w:t>
      </w:r>
    </w:p>
    <w:bookmarkEnd w:id="10"/>
    <w:p w:rsidR="001743D6" w:rsidRPr="001743D6" w:rsidRDefault="001743D6" w:rsidP="001743D6">
      <w:pPr>
        <w:jc w:val="both"/>
        <w:rPr>
          <w:rFonts w:ascii="Segoe UI" w:hAnsi="Segoe UI" w:cs="Segoe UI"/>
        </w:rPr>
      </w:pPr>
      <w:r w:rsidRPr="001743D6">
        <w:rPr>
          <w:rFonts w:ascii="Segoe UI" w:hAnsi="Segoe UI" w:cs="Segoe UI"/>
        </w:rPr>
        <w:t xml:space="preserve">The proportion of land in each RFA region that is forested varies. The West RFA region is the largest (over 5.7 million hectares total area) and is 22 per cent forested, whereas the East Gippsland RFA region is the second smallest (1.1 million hectares total area) and is 90 per cent forested. </w:t>
      </w:r>
    </w:p>
    <w:p w:rsidR="001743D6" w:rsidRPr="001743D6" w:rsidRDefault="001743D6" w:rsidP="001743D6">
      <w:pPr>
        <w:keepNext/>
        <w:jc w:val="both"/>
        <w:rPr>
          <w:rFonts w:ascii="Segoe UI" w:hAnsi="Segoe UI" w:cs="Segoe UI"/>
        </w:rPr>
      </w:pPr>
      <w:r w:rsidRPr="001743D6">
        <w:rPr>
          <w:rFonts w:ascii="Segoe UI" w:hAnsi="Segoe UI" w:cs="Segoe UI"/>
          <w:noProof/>
          <w:lang w:eastAsia="en-AU"/>
        </w:rPr>
        <w:drawing>
          <wp:inline distT="0" distB="0" distL="0" distR="0" wp14:anchorId="4FBDF0FD" wp14:editId="44D2EB35">
            <wp:extent cx="3528204" cy="2397799"/>
            <wp:effectExtent l="0" t="0" r="0" b="2540"/>
            <wp:docPr id="1560527653" name="Picture 15605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9224" cy="2425676"/>
                    </a:xfrm>
                    <a:prstGeom prst="rect">
                      <a:avLst/>
                    </a:prstGeom>
                    <a:noFill/>
                  </pic:spPr>
                </pic:pic>
              </a:graphicData>
            </a:graphic>
          </wp:inline>
        </w:drawing>
      </w:r>
      <w:r w:rsidRPr="001743D6">
        <w:rPr>
          <w:rFonts w:ascii="Segoe UI" w:hAnsi="Segoe UI" w:cs="Segoe UI"/>
          <w:noProof/>
          <w:lang w:eastAsia="en-AU"/>
        </w:rPr>
        <w:drawing>
          <wp:inline distT="0" distB="0" distL="0" distR="0" wp14:anchorId="6A962D2A" wp14:editId="1E4F8717">
            <wp:extent cx="1871932" cy="2400241"/>
            <wp:effectExtent l="0" t="0" r="0" b="635"/>
            <wp:docPr id="1560527654" name="Picture 15605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4743" cy="2416668"/>
                    </a:xfrm>
                    <a:prstGeom prst="rect">
                      <a:avLst/>
                    </a:prstGeom>
                    <a:noFill/>
                  </pic:spPr>
                </pic:pic>
              </a:graphicData>
            </a:graphic>
          </wp:inline>
        </w:drawing>
      </w:r>
    </w:p>
    <w:p w:rsidR="001743D6" w:rsidRPr="001743D6" w:rsidRDefault="001743D6" w:rsidP="001743D6">
      <w:pPr>
        <w:spacing w:after="200" w:line="240" w:lineRule="auto"/>
        <w:rPr>
          <w:rFonts w:ascii="Segoe UI Semibold" w:eastAsia="Times New Roman" w:hAnsi="Segoe UI Semibold" w:cs="Times New Roman"/>
          <w:color w:val="016295"/>
        </w:rPr>
      </w:pPr>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5</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Forest cover and non-forest from Victoria’s forest cover estimates, 2013</w:t>
      </w: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Note: Forest cover is shown in green and non-forest is shown in blue.</w:t>
      </w:r>
    </w:p>
    <w:p w:rsidR="001743D6" w:rsidRPr="001743D6" w:rsidRDefault="001743D6" w:rsidP="001743D6">
      <w:pPr>
        <w:jc w:val="both"/>
        <w:rPr>
          <w:rFonts w:ascii="Segoe UI" w:hAnsi="Segoe UI" w:cs="Segoe UI"/>
        </w:rPr>
        <w:sectPr w:rsidR="001743D6" w:rsidRPr="001743D6" w:rsidSect="00D06FDE">
          <w:footerReference w:type="default" r:id="rId17"/>
          <w:pgSz w:w="11906" w:h="16838" w:code="9"/>
          <w:pgMar w:top="1418" w:right="1418" w:bottom="1418" w:left="1418" w:header="737" w:footer="448" w:gutter="0"/>
          <w:pgNumType w:start="71"/>
          <w:cols w:space="708"/>
          <w:docGrid w:linePitch="360"/>
        </w:sectPr>
      </w:pPr>
      <w:r w:rsidRPr="001743D6">
        <w:rPr>
          <w:rFonts w:ascii="Segoe UI" w:hAnsi="Segoe UI" w:cs="Segoe UI"/>
        </w:rPr>
        <w:t>The mix of forest on public and private land also varies between RFA regions. The West RFA region has the highest proportion of forest on private land (36 per cent of total forest in the region), which partly reflects the significant plantation industry in the west of the state. In the Central Highlands RFA region, 17 per cent of forest is on private land, while in other RFA regions the proportion is less than 15 per cent.</w:t>
      </w:r>
    </w:p>
    <w:p w:rsidR="001743D6" w:rsidRPr="001743D6" w:rsidRDefault="001743D6" w:rsidP="001743D6">
      <w:pPr>
        <w:spacing w:after="200" w:line="240" w:lineRule="auto"/>
        <w:rPr>
          <w:rFonts w:ascii="Segoe UI Semibold" w:eastAsia="Times New Roman" w:hAnsi="Segoe UI Semibold" w:cs="Times New Roman"/>
          <w:color w:val="016295"/>
        </w:rPr>
      </w:pPr>
      <w:bookmarkStart w:id="11" w:name="_Ref19787076"/>
      <w:bookmarkStart w:id="12" w:name="_Toc25660807"/>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23</w:t>
      </w:r>
      <w:r w:rsidRPr="001743D6">
        <w:rPr>
          <w:rFonts w:ascii="Segoe UI Semibold" w:eastAsia="Times New Roman" w:hAnsi="Segoe UI Semibold" w:cs="Times New Roman"/>
          <w:noProof/>
          <w:color w:val="016295"/>
        </w:rPr>
        <w:fldChar w:fldCharType="end"/>
      </w:r>
      <w:bookmarkEnd w:id="11"/>
      <w:r w:rsidRPr="001743D6">
        <w:rPr>
          <w:rFonts w:ascii="Segoe UI Semibold" w:eastAsia="Times New Roman" w:hAnsi="Segoe UI Semibold" w:cs="Times New Roman"/>
          <w:color w:val="016295"/>
        </w:rPr>
        <w:t>: Forest cover change by RFA and tenure, 2009–13</w:t>
      </w:r>
      <w:bookmarkEnd w:id="12"/>
    </w:p>
    <w:tbl>
      <w:tblPr>
        <w:tblW w:w="0" w:type="auto"/>
        <w:tblLayout w:type="fixed"/>
        <w:tblCellMar>
          <w:top w:w="45" w:type="dxa"/>
          <w:bottom w:w="45" w:type="dxa"/>
        </w:tblCellMar>
        <w:tblLook w:val="04A0" w:firstRow="1" w:lastRow="0" w:firstColumn="1" w:lastColumn="0" w:noHBand="0" w:noVBand="1"/>
      </w:tblPr>
      <w:tblGrid>
        <w:gridCol w:w="1073"/>
        <w:gridCol w:w="1337"/>
        <w:gridCol w:w="938"/>
        <w:gridCol w:w="960"/>
        <w:gridCol w:w="1022"/>
        <w:gridCol w:w="1020"/>
        <w:gridCol w:w="967"/>
        <w:gridCol w:w="1073"/>
        <w:gridCol w:w="1073"/>
        <w:gridCol w:w="1020"/>
        <w:gridCol w:w="31"/>
        <w:gridCol w:w="989"/>
        <w:gridCol w:w="998"/>
      </w:tblGrid>
      <w:tr w:rsidR="001743D6" w:rsidRPr="001743D6" w:rsidTr="00D06FDE">
        <w:trPr>
          <w:trHeight w:hRule="exact" w:val="340"/>
          <w:tblHeader/>
        </w:trPr>
        <w:tc>
          <w:tcPr>
            <w:tcW w:w="3348" w:type="dxa"/>
            <w:gridSpan w:val="3"/>
            <w:shd w:val="clear" w:color="auto" w:fill="E2EFD9" w:themeFill="accent6" w:themeFillTint="33"/>
            <w:hideMark/>
          </w:tcPr>
          <w:p w:rsidR="001743D6" w:rsidRPr="001743D6" w:rsidRDefault="001743D6" w:rsidP="001743D6">
            <w:pPr>
              <w:rPr>
                <w:rFonts w:ascii="Segoe UI" w:hAnsi="Segoe UI" w:cs="Segoe UI"/>
              </w:rPr>
            </w:pPr>
          </w:p>
        </w:tc>
        <w:tc>
          <w:tcPr>
            <w:tcW w:w="3969" w:type="dxa"/>
            <w:gridSpan w:val="4"/>
            <w:tcBorders>
              <w:bottom w:val="single" w:sz="2" w:space="0" w:color="7F7F7F" w:themeColor="text1" w:themeTint="80"/>
              <w:right w:val="single" w:sz="4" w:space="0" w:color="auto"/>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b/>
                <w:sz w:val="19"/>
                <w:szCs w:val="19"/>
                <w:lang w:eastAsia="en-AU"/>
              </w:rPr>
            </w:pPr>
            <w:r w:rsidRPr="001743D6">
              <w:rPr>
                <w:rFonts w:ascii="Segoe UI" w:eastAsia="Calibri" w:hAnsi="Segoe UI" w:cs="Calibri"/>
                <w:b/>
                <w:sz w:val="19"/>
                <w:szCs w:val="19"/>
                <w:lang w:eastAsia="en-AU"/>
              </w:rPr>
              <w:t>2009</w:t>
            </w:r>
          </w:p>
        </w:tc>
        <w:tc>
          <w:tcPr>
            <w:tcW w:w="1073" w:type="dxa"/>
            <w:tcBorders>
              <w:left w:val="single" w:sz="4" w:space="0" w:color="auto"/>
              <w:bottom w:val="single" w:sz="2" w:space="0" w:color="7F7F7F" w:themeColor="text1" w:themeTint="80"/>
              <w:right w:val="single" w:sz="24" w:space="0" w:color="E2EFD9" w:themeColor="accent6" w:themeTint="33"/>
            </w:tcBorders>
            <w:shd w:val="clear" w:color="auto" w:fill="E2EFD9" w:themeFill="accent6" w:themeFillTint="33"/>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4111" w:type="dxa"/>
            <w:gridSpan w:val="5"/>
            <w:tcBorders>
              <w:left w:val="single" w:sz="24" w:space="0" w:color="E2EFD9" w:themeColor="accent6" w:themeTint="33"/>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b/>
                <w:sz w:val="19"/>
                <w:szCs w:val="19"/>
                <w:lang w:eastAsia="en-AU"/>
              </w:rPr>
            </w:pPr>
            <w:r w:rsidRPr="001743D6">
              <w:rPr>
                <w:rFonts w:ascii="Segoe UI" w:eastAsia="Calibri" w:hAnsi="Segoe UI" w:cs="Calibri"/>
                <w:b/>
                <w:sz w:val="19"/>
                <w:szCs w:val="19"/>
                <w:lang w:eastAsia="en-AU"/>
              </w:rPr>
              <w:t>2013</w:t>
            </w:r>
          </w:p>
        </w:tc>
      </w:tr>
      <w:tr w:rsidR="001743D6" w:rsidRPr="001743D6" w:rsidTr="00D06FDE">
        <w:trPr>
          <w:trHeight w:hRule="exact" w:val="340"/>
          <w:tblHeader/>
        </w:trPr>
        <w:tc>
          <w:tcPr>
            <w:tcW w:w="3348" w:type="dxa"/>
            <w:gridSpan w:val="3"/>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1982" w:type="dxa"/>
            <w:gridSpan w:val="2"/>
            <w:tcBorders>
              <w:top w:val="single" w:sz="2" w:space="0" w:color="7F7F7F" w:themeColor="text1" w:themeTint="80"/>
              <w:bottom w:val="single" w:sz="2" w:space="0" w:color="7F7F7F" w:themeColor="text1" w:themeTint="80"/>
              <w:right w:val="single" w:sz="24" w:space="0" w:color="E2EFD9" w:themeColor="accent6" w:themeTint="33"/>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Forest</w:t>
            </w:r>
          </w:p>
        </w:tc>
        <w:tc>
          <w:tcPr>
            <w:tcW w:w="1987" w:type="dxa"/>
            <w:gridSpan w:val="2"/>
            <w:tcBorders>
              <w:top w:val="single" w:sz="2" w:space="0" w:color="7F7F7F" w:themeColor="text1" w:themeTint="80"/>
              <w:left w:val="single" w:sz="24" w:space="0" w:color="E2EFD9" w:themeColor="accent6" w:themeTint="33"/>
              <w:bottom w:val="single" w:sz="2" w:space="0" w:color="7F7F7F" w:themeColor="text1" w:themeTint="80"/>
              <w:right w:val="single" w:sz="4" w:space="0" w:color="auto"/>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Non-forest</w:t>
            </w:r>
          </w:p>
        </w:tc>
        <w:tc>
          <w:tcPr>
            <w:tcW w:w="1073" w:type="dxa"/>
            <w:tcBorders>
              <w:left w:val="single" w:sz="4" w:space="0" w:color="auto"/>
              <w:bottom w:val="single" w:sz="2" w:space="0" w:color="7F7F7F" w:themeColor="text1" w:themeTint="80"/>
              <w:right w:val="single" w:sz="24" w:space="0" w:color="E2EFD9" w:themeColor="accent6" w:themeTint="33"/>
            </w:tcBorders>
            <w:shd w:val="clear" w:color="auto" w:fill="E2EFD9" w:themeFill="accent6" w:themeFillTint="33"/>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2124" w:type="dxa"/>
            <w:gridSpan w:val="3"/>
            <w:tcBorders>
              <w:left w:val="single" w:sz="24" w:space="0" w:color="E2EFD9" w:themeColor="accent6" w:themeTint="33"/>
              <w:bottom w:val="single" w:sz="2" w:space="0" w:color="7F7F7F" w:themeColor="text1" w:themeTint="80"/>
              <w:right w:val="single" w:sz="24" w:space="0" w:color="E2EFD9" w:themeColor="accent6" w:themeTint="33"/>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Forest</w:t>
            </w:r>
          </w:p>
        </w:tc>
        <w:tc>
          <w:tcPr>
            <w:tcW w:w="1987" w:type="dxa"/>
            <w:gridSpan w:val="2"/>
            <w:tcBorders>
              <w:top w:val="single" w:sz="2" w:space="0" w:color="7F7F7F" w:themeColor="text1" w:themeTint="80"/>
              <w:left w:val="single" w:sz="24" w:space="0" w:color="E2EFD9" w:themeColor="accent6" w:themeTint="33"/>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Non-forest</w:t>
            </w:r>
          </w:p>
        </w:tc>
      </w:tr>
      <w:tr w:rsidR="001743D6" w:rsidRPr="001743D6" w:rsidTr="00D06FDE">
        <w:trPr>
          <w:trHeight w:hRule="exact" w:val="624"/>
          <w:tblHeader/>
        </w:trPr>
        <w:tc>
          <w:tcPr>
            <w:tcW w:w="2410" w:type="dxa"/>
            <w:gridSpan w:val="2"/>
            <w:tcBorders>
              <w:bottom w:val="single" w:sz="2" w:space="0" w:color="7F7F7F" w:themeColor="text1" w:themeTint="80"/>
            </w:tcBorders>
            <w:shd w:val="clear" w:color="auto" w:fill="E2EFD9" w:themeFill="accent6" w:themeFillTint="33"/>
            <w:vAlign w:val="bottom"/>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938" w:type="dxa"/>
            <w:tcBorders>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All Land area</w:t>
            </w:r>
          </w:p>
        </w:tc>
        <w:tc>
          <w:tcPr>
            <w:tcW w:w="960" w:type="dxa"/>
            <w:tcBorders>
              <w:top w:val="single" w:sz="2" w:space="0" w:color="7F7F7F" w:themeColor="text1" w:themeTint="80"/>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Area</w:t>
            </w:r>
          </w:p>
        </w:tc>
        <w:tc>
          <w:tcPr>
            <w:tcW w:w="1022" w:type="dxa"/>
            <w:tcBorders>
              <w:top w:val="single" w:sz="2" w:space="0" w:color="7F7F7F" w:themeColor="text1" w:themeTint="80"/>
              <w:bottom w:val="single" w:sz="2" w:space="0" w:color="7F7F7F" w:themeColor="text1" w:themeTint="80"/>
              <w:right w:val="single" w:sz="24" w:space="0" w:color="E2EFD9" w:themeColor="accent6" w:themeTint="33"/>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 per cent</w:t>
            </w:r>
          </w:p>
        </w:tc>
        <w:tc>
          <w:tcPr>
            <w:tcW w:w="1020" w:type="dxa"/>
            <w:tcBorders>
              <w:top w:val="single" w:sz="2" w:space="0" w:color="7F7F7F" w:themeColor="text1" w:themeTint="80"/>
              <w:left w:val="single" w:sz="24" w:space="0" w:color="E2EFD9" w:themeColor="accent6" w:themeTint="33"/>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Area</w:t>
            </w:r>
          </w:p>
        </w:tc>
        <w:tc>
          <w:tcPr>
            <w:tcW w:w="967" w:type="dxa"/>
            <w:tcBorders>
              <w:top w:val="single" w:sz="2" w:space="0" w:color="7F7F7F" w:themeColor="text1" w:themeTint="80"/>
              <w:bottom w:val="single" w:sz="2" w:space="0" w:color="7F7F7F" w:themeColor="text1" w:themeTint="80"/>
              <w:right w:val="single" w:sz="4" w:space="0" w:color="auto"/>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 per cent</w:t>
            </w:r>
          </w:p>
        </w:tc>
        <w:tc>
          <w:tcPr>
            <w:tcW w:w="1073" w:type="dxa"/>
            <w:tcBorders>
              <w:top w:val="single" w:sz="2" w:space="0" w:color="7F7F7F" w:themeColor="text1" w:themeTint="80"/>
              <w:left w:val="single" w:sz="4" w:space="0" w:color="auto"/>
              <w:bottom w:val="single" w:sz="2" w:space="0" w:color="7F7F7F" w:themeColor="text1" w:themeTint="80"/>
              <w:right w:val="single" w:sz="24" w:space="0" w:color="E2EFD9" w:themeColor="accent6" w:themeTint="33"/>
            </w:tcBorders>
            <w:shd w:val="clear" w:color="auto" w:fill="E2EFD9" w:themeFill="accent6" w:themeFillTint="33"/>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All </w:t>
            </w:r>
            <w:r w:rsidRPr="001743D6">
              <w:rPr>
                <w:rFonts w:ascii="Segoe UI" w:eastAsia="Calibri" w:hAnsi="Segoe UI" w:cs="Calibri"/>
                <w:sz w:val="19"/>
                <w:szCs w:val="19"/>
                <w:lang w:eastAsia="en-AU"/>
              </w:rPr>
              <w:br/>
              <w:t>Land</w:t>
            </w:r>
          </w:p>
        </w:tc>
        <w:tc>
          <w:tcPr>
            <w:tcW w:w="1073" w:type="dxa"/>
            <w:tcBorders>
              <w:top w:val="single" w:sz="2" w:space="0" w:color="7F7F7F" w:themeColor="text1" w:themeTint="80"/>
              <w:left w:val="single" w:sz="24" w:space="0" w:color="E2EFD9" w:themeColor="accent6" w:themeTint="33"/>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Area</w:t>
            </w:r>
          </w:p>
        </w:tc>
        <w:tc>
          <w:tcPr>
            <w:tcW w:w="1020" w:type="dxa"/>
            <w:tcBorders>
              <w:top w:val="single" w:sz="2" w:space="0" w:color="7F7F7F" w:themeColor="text1" w:themeTint="80"/>
              <w:bottom w:val="single" w:sz="2" w:space="0" w:color="7F7F7F" w:themeColor="text1" w:themeTint="80"/>
              <w:right w:val="single" w:sz="24" w:space="0" w:color="E2EFD9" w:themeColor="accent6" w:themeTint="33"/>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 per cent</w:t>
            </w:r>
          </w:p>
        </w:tc>
        <w:tc>
          <w:tcPr>
            <w:tcW w:w="1020" w:type="dxa"/>
            <w:gridSpan w:val="2"/>
            <w:tcBorders>
              <w:top w:val="single" w:sz="2" w:space="0" w:color="7F7F7F" w:themeColor="text1" w:themeTint="80"/>
              <w:left w:val="single" w:sz="24" w:space="0" w:color="E2EFD9" w:themeColor="accent6" w:themeTint="33"/>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Area</w:t>
            </w:r>
          </w:p>
        </w:tc>
        <w:tc>
          <w:tcPr>
            <w:tcW w:w="998" w:type="dxa"/>
            <w:tcBorders>
              <w:top w:val="single" w:sz="2" w:space="0" w:color="7F7F7F" w:themeColor="text1" w:themeTint="80"/>
              <w:bottom w:val="single" w:sz="2" w:space="0" w:color="7F7F7F" w:themeColor="text1" w:themeTint="80"/>
            </w:tcBorders>
            <w:shd w:val="clear" w:color="auto" w:fill="E2EFD9" w:themeFill="accent6" w:themeFillTint="33"/>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 per cent</w:t>
            </w:r>
          </w:p>
        </w:tc>
      </w:tr>
      <w:tr w:rsidR="001743D6" w:rsidRPr="001743D6" w:rsidTr="00D06FDE">
        <w:trPr>
          <w:trHeight w:hRule="exact" w:val="340"/>
        </w:trPr>
        <w:tc>
          <w:tcPr>
            <w:tcW w:w="1073" w:type="dxa"/>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11428" w:type="dxa"/>
            <w:gridSpan w:val="12"/>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r>
      <w:tr w:rsidR="001743D6" w:rsidRPr="001743D6" w:rsidTr="00D06FDE">
        <w:trPr>
          <w:trHeight w:hRule="exact" w:val="340"/>
        </w:trPr>
        <w:tc>
          <w:tcPr>
            <w:tcW w:w="2410" w:type="dxa"/>
            <w:gridSpan w:val="2"/>
            <w:tcBorders>
              <w:top w:val="single" w:sz="2" w:space="0" w:color="7F7F7F" w:themeColor="text1" w:themeTint="80"/>
            </w:tcBorders>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Parks and reserves</w:t>
            </w:r>
          </w:p>
        </w:tc>
        <w:tc>
          <w:tcPr>
            <w:tcW w:w="93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174</w:t>
            </w:r>
          </w:p>
        </w:tc>
        <w:tc>
          <w:tcPr>
            <w:tcW w:w="96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170</w:t>
            </w:r>
          </w:p>
        </w:tc>
        <w:tc>
          <w:tcPr>
            <w:tcW w:w="1022"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14.9</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w:t>
            </w:r>
          </w:p>
        </w:tc>
        <w:tc>
          <w:tcPr>
            <w:tcW w:w="967" w:type="dxa"/>
            <w:tcBorders>
              <w:top w:val="single" w:sz="2" w:space="0" w:color="7F7F7F" w:themeColor="text1" w:themeTint="80"/>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0.3</w:t>
            </w:r>
          </w:p>
        </w:tc>
        <w:tc>
          <w:tcPr>
            <w:tcW w:w="1073" w:type="dxa"/>
            <w:tcBorders>
              <w:top w:val="single" w:sz="2" w:space="0" w:color="7F7F7F" w:themeColor="text1" w:themeTint="80"/>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197</w:t>
            </w:r>
          </w:p>
        </w:tc>
        <w:tc>
          <w:tcPr>
            <w:tcW w:w="1073"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175</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15.40</w:t>
            </w:r>
          </w:p>
        </w:tc>
        <w:tc>
          <w:tcPr>
            <w:tcW w:w="1020" w:type="dxa"/>
            <w:gridSpan w:val="2"/>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22</w:t>
            </w:r>
          </w:p>
        </w:tc>
        <w:tc>
          <w:tcPr>
            <w:tcW w:w="99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0.3</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State forest</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402</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395</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34.9</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0.5</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145</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142</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12.53</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32.4</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Other Crown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50</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2.7</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403</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35</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3.01</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368</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Private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509</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145</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12.8</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364</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32.2</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391</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386</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34.10</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0.4</w:t>
            </w:r>
          </w:p>
        </w:tc>
      </w:tr>
      <w:tr w:rsidR="001743D6" w:rsidRPr="001743D6" w:rsidTr="00D06FDE">
        <w:trPr>
          <w:trHeight w:hRule="exact" w:val="340"/>
        </w:trPr>
        <w:tc>
          <w:tcPr>
            <w:tcW w:w="2410" w:type="dxa"/>
            <w:gridSpan w:val="2"/>
            <w:tcBorders>
              <w:bottom w:val="single" w:sz="2" w:space="0" w:color="7F7F7F" w:themeColor="text1" w:themeTint="80"/>
            </w:tcBorders>
            <w:shd w:val="clear" w:color="auto" w:fill="auto"/>
            <w:hideMark/>
          </w:tcPr>
          <w:p w:rsidR="001743D6" w:rsidRPr="001743D6" w:rsidRDefault="001743D6" w:rsidP="001743D6">
            <w:pPr>
              <w:spacing w:before="20" w:after="0" w:line="240" w:lineRule="auto"/>
              <w:rPr>
                <w:rFonts w:ascii="Segoe UI" w:eastAsia="Calibri" w:hAnsi="Segoe UI" w:cs="Calibri"/>
                <w:b/>
                <w:sz w:val="19"/>
                <w:szCs w:val="19"/>
                <w:lang w:eastAsia="en-AU"/>
              </w:rPr>
            </w:pPr>
            <w:r w:rsidRPr="001743D6">
              <w:rPr>
                <w:rFonts w:ascii="Segoe UI" w:eastAsia="Calibri" w:hAnsi="Segoe UI" w:cs="Calibri"/>
                <w:b/>
                <w:sz w:val="19"/>
                <w:szCs w:val="19"/>
                <w:lang w:eastAsia="en-AU"/>
              </w:rPr>
              <w:t>Total Central Highlands</w:t>
            </w:r>
          </w:p>
        </w:tc>
        <w:tc>
          <w:tcPr>
            <w:tcW w:w="93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1,132</w:t>
            </w:r>
          </w:p>
        </w:tc>
        <w:tc>
          <w:tcPr>
            <w:tcW w:w="96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740</w:t>
            </w:r>
          </w:p>
        </w:tc>
        <w:tc>
          <w:tcPr>
            <w:tcW w:w="1022"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65.3</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393</w:t>
            </w:r>
          </w:p>
        </w:tc>
        <w:tc>
          <w:tcPr>
            <w:tcW w:w="967" w:type="dxa"/>
            <w:tcBorders>
              <w:bottom w:val="single" w:sz="2" w:space="0" w:color="7F7F7F" w:themeColor="text1" w:themeTint="80"/>
              <w:right w:val="single" w:sz="4" w:space="0" w:color="auto"/>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34.7</w:t>
            </w:r>
          </w:p>
        </w:tc>
        <w:tc>
          <w:tcPr>
            <w:tcW w:w="1073" w:type="dxa"/>
            <w:tcBorders>
              <w:left w:val="single" w:sz="4" w:space="0" w:color="auto"/>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1,132</w:t>
            </w:r>
          </w:p>
        </w:tc>
        <w:tc>
          <w:tcPr>
            <w:tcW w:w="1073"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737</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65.04</w:t>
            </w:r>
          </w:p>
        </w:tc>
        <w:tc>
          <w:tcPr>
            <w:tcW w:w="1020" w:type="dxa"/>
            <w:gridSpan w:val="2"/>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396</w:t>
            </w:r>
          </w:p>
        </w:tc>
        <w:tc>
          <w:tcPr>
            <w:tcW w:w="99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35.0</w:t>
            </w:r>
          </w:p>
        </w:tc>
      </w:tr>
      <w:tr w:rsidR="001743D6" w:rsidRPr="001743D6" w:rsidTr="00D06FDE">
        <w:trPr>
          <w:trHeight w:hRule="exact" w:val="340"/>
        </w:trPr>
        <w:tc>
          <w:tcPr>
            <w:tcW w:w="1073" w:type="dxa"/>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11428" w:type="dxa"/>
            <w:gridSpan w:val="12"/>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r>
      <w:tr w:rsidR="001743D6" w:rsidRPr="001743D6" w:rsidTr="00D06FDE">
        <w:trPr>
          <w:trHeight w:hRule="exact" w:val="340"/>
        </w:trPr>
        <w:tc>
          <w:tcPr>
            <w:tcW w:w="2410" w:type="dxa"/>
            <w:gridSpan w:val="2"/>
            <w:tcBorders>
              <w:top w:val="single" w:sz="2" w:space="0" w:color="7F7F7F" w:themeColor="text1" w:themeTint="80"/>
            </w:tcBorders>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Parks and reserves</w:t>
            </w:r>
          </w:p>
        </w:tc>
        <w:tc>
          <w:tcPr>
            <w:tcW w:w="93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448</w:t>
            </w:r>
          </w:p>
        </w:tc>
        <w:tc>
          <w:tcPr>
            <w:tcW w:w="96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436</w:t>
            </w:r>
          </w:p>
        </w:tc>
        <w:tc>
          <w:tcPr>
            <w:tcW w:w="1022"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35.9</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w:t>
            </w:r>
          </w:p>
        </w:tc>
        <w:tc>
          <w:tcPr>
            <w:tcW w:w="967" w:type="dxa"/>
            <w:tcBorders>
              <w:top w:val="single" w:sz="2" w:space="0" w:color="7F7F7F" w:themeColor="text1" w:themeTint="80"/>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w:t>
            </w:r>
          </w:p>
        </w:tc>
        <w:tc>
          <w:tcPr>
            <w:tcW w:w="1073" w:type="dxa"/>
            <w:tcBorders>
              <w:top w:val="single" w:sz="2" w:space="0" w:color="7F7F7F" w:themeColor="text1" w:themeTint="80"/>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447</w:t>
            </w:r>
          </w:p>
        </w:tc>
        <w:tc>
          <w:tcPr>
            <w:tcW w:w="1073"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440</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36.21</w:t>
            </w:r>
          </w:p>
        </w:tc>
        <w:tc>
          <w:tcPr>
            <w:tcW w:w="1020" w:type="dxa"/>
            <w:gridSpan w:val="2"/>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w:t>
            </w:r>
          </w:p>
        </w:tc>
        <w:tc>
          <w:tcPr>
            <w:tcW w:w="99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0.6</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State forest</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583</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576</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47.4</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0.5</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86</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78</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6.39</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6.9</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Other Crown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27</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19</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0.6</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102</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18</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1.45</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84</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0.6</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Private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160</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75</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6.1</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85</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7.0</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582</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576</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47.49</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0.4</w:t>
            </w:r>
          </w:p>
        </w:tc>
      </w:tr>
      <w:tr w:rsidR="001743D6" w:rsidRPr="001743D6" w:rsidTr="00D06FDE">
        <w:trPr>
          <w:trHeight w:hRule="exact" w:val="340"/>
        </w:trPr>
        <w:tc>
          <w:tcPr>
            <w:tcW w:w="2410" w:type="dxa"/>
            <w:gridSpan w:val="2"/>
            <w:tcBorders>
              <w:bottom w:val="single" w:sz="2" w:space="0" w:color="7F7F7F" w:themeColor="text1" w:themeTint="80"/>
            </w:tcBorders>
            <w:shd w:val="clear" w:color="auto" w:fill="auto"/>
            <w:hideMark/>
          </w:tcPr>
          <w:p w:rsidR="001743D6" w:rsidRPr="001743D6" w:rsidRDefault="001743D6" w:rsidP="001743D6">
            <w:pPr>
              <w:rPr>
                <w:rFonts w:ascii="Segoe UI" w:hAnsi="Segoe UI" w:cs="Segoe UI"/>
              </w:rPr>
            </w:pPr>
            <w:r w:rsidRPr="001743D6">
              <w:rPr>
                <w:rFonts w:ascii="Segoe UI" w:eastAsia="Calibri" w:hAnsi="Segoe UI" w:cs="Calibri"/>
                <w:b/>
                <w:sz w:val="19"/>
                <w:szCs w:val="19"/>
                <w:lang w:eastAsia="en-AU"/>
              </w:rPr>
              <w:t>Total East Gippsland</w:t>
            </w:r>
          </w:p>
        </w:tc>
        <w:tc>
          <w:tcPr>
            <w:tcW w:w="93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1,213</w:t>
            </w:r>
          </w:p>
        </w:tc>
        <w:tc>
          <w:tcPr>
            <w:tcW w:w="96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1,104</w:t>
            </w:r>
          </w:p>
        </w:tc>
        <w:tc>
          <w:tcPr>
            <w:tcW w:w="1022"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90.9</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111</w:t>
            </w:r>
          </w:p>
        </w:tc>
        <w:tc>
          <w:tcPr>
            <w:tcW w:w="967" w:type="dxa"/>
            <w:tcBorders>
              <w:bottom w:val="single" w:sz="2" w:space="0" w:color="7F7F7F" w:themeColor="text1" w:themeTint="80"/>
              <w:right w:val="single" w:sz="4" w:space="0" w:color="auto"/>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9.1</w:t>
            </w:r>
          </w:p>
        </w:tc>
        <w:tc>
          <w:tcPr>
            <w:tcW w:w="1073" w:type="dxa"/>
            <w:tcBorders>
              <w:left w:val="single" w:sz="4" w:space="0" w:color="auto"/>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1,213</w:t>
            </w:r>
          </w:p>
        </w:tc>
        <w:tc>
          <w:tcPr>
            <w:tcW w:w="1073"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1,111</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91.54</w:t>
            </w:r>
          </w:p>
        </w:tc>
        <w:tc>
          <w:tcPr>
            <w:tcW w:w="1020" w:type="dxa"/>
            <w:gridSpan w:val="2"/>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103</w:t>
            </w:r>
          </w:p>
        </w:tc>
        <w:tc>
          <w:tcPr>
            <w:tcW w:w="99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8.5</w:t>
            </w:r>
          </w:p>
        </w:tc>
      </w:tr>
      <w:tr w:rsidR="001743D6" w:rsidRPr="001743D6" w:rsidTr="00D06FDE">
        <w:trPr>
          <w:trHeight w:hRule="exact" w:val="340"/>
        </w:trPr>
        <w:tc>
          <w:tcPr>
            <w:tcW w:w="1073" w:type="dxa"/>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11428" w:type="dxa"/>
            <w:gridSpan w:val="12"/>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r>
      <w:tr w:rsidR="001743D6" w:rsidRPr="001743D6" w:rsidTr="00D06FDE">
        <w:trPr>
          <w:trHeight w:hRule="exact" w:val="340"/>
        </w:trPr>
        <w:tc>
          <w:tcPr>
            <w:tcW w:w="2410" w:type="dxa"/>
            <w:gridSpan w:val="2"/>
            <w:tcBorders>
              <w:top w:val="single" w:sz="2" w:space="0" w:color="7F7F7F" w:themeColor="text1" w:themeTint="80"/>
            </w:tcBorders>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Parks and reserves</w:t>
            </w:r>
          </w:p>
        </w:tc>
        <w:tc>
          <w:tcPr>
            <w:tcW w:w="93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491</w:t>
            </w:r>
          </w:p>
        </w:tc>
        <w:tc>
          <w:tcPr>
            <w:tcW w:w="96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446</w:t>
            </w:r>
          </w:p>
        </w:tc>
        <w:tc>
          <w:tcPr>
            <w:tcW w:w="1022"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16.8</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45</w:t>
            </w:r>
          </w:p>
        </w:tc>
        <w:tc>
          <w:tcPr>
            <w:tcW w:w="967" w:type="dxa"/>
            <w:tcBorders>
              <w:top w:val="single" w:sz="2" w:space="0" w:color="7F7F7F" w:themeColor="text1" w:themeTint="80"/>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w:t>
            </w:r>
          </w:p>
        </w:tc>
        <w:tc>
          <w:tcPr>
            <w:tcW w:w="1073" w:type="dxa"/>
            <w:tcBorders>
              <w:top w:val="single" w:sz="2" w:space="0" w:color="7F7F7F" w:themeColor="text1" w:themeTint="80"/>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545</w:t>
            </w:r>
          </w:p>
        </w:tc>
        <w:tc>
          <w:tcPr>
            <w:tcW w:w="1073"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466</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17.55</w:t>
            </w:r>
          </w:p>
        </w:tc>
        <w:tc>
          <w:tcPr>
            <w:tcW w:w="1020" w:type="dxa"/>
            <w:gridSpan w:val="2"/>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79</w:t>
            </w:r>
          </w:p>
        </w:tc>
        <w:tc>
          <w:tcPr>
            <w:tcW w:w="99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State forest</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864</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846</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31.8</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18</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0.7</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290</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261</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9.83</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29</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34.3</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Other Crown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136</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59</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2.2</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77</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2.9</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1,01</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100</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3.76</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910</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Private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1,170</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246</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9.2</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924</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34.8</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812</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800</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30.13</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0.4</w:t>
            </w:r>
          </w:p>
        </w:tc>
      </w:tr>
      <w:tr w:rsidR="001743D6" w:rsidRPr="001743D6" w:rsidTr="00D06FDE">
        <w:trPr>
          <w:trHeight w:hRule="exact" w:val="340"/>
        </w:trPr>
        <w:tc>
          <w:tcPr>
            <w:tcW w:w="2410" w:type="dxa"/>
            <w:gridSpan w:val="2"/>
            <w:tcBorders>
              <w:bottom w:val="single" w:sz="2" w:space="0" w:color="7F7F7F" w:themeColor="text1" w:themeTint="80"/>
            </w:tcBorders>
            <w:shd w:val="clear" w:color="auto" w:fill="auto"/>
            <w:hideMark/>
          </w:tcPr>
          <w:p w:rsidR="001743D6" w:rsidRPr="001743D6" w:rsidRDefault="001743D6" w:rsidP="001743D6">
            <w:pPr>
              <w:rPr>
                <w:rFonts w:ascii="Segoe UI" w:hAnsi="Segoe UI" w:cs="Segoe UI"/>
              </w:rPr>
            </w:pPr>
            <w:r w:rsidRPr="001743D6">
              <w:rPr>
                <w:rFonts w:ascii="Segoe UI" w:eastAsia="Calibri" w:hAnsi="Segoe UI" w:cs="Calibri"/>
                <w:b/>
                <w:sz w:val="19"/>
                <w:szCs w:val="19"/>
                <w:lang w:eastAsia="en-AU"/>
              </w:rPr>
              <w:t>Total Gippsland</w:t>
            </w:r>
          </w:p>
        </w:tc>
        <w:tc>
          <w:tcPr>
            <w:tcW w:w="93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2,655</w:t>
            </w:r>
          </w:p>
        </w:tc>
        <w:tc>
          <w:tcPr>
            <w:tcW w:w="96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1,595</w:t>
            </w:r>
          </w:p>
        </w:tc>
        <w:tc>
          <w:tcPr>
            <w:tcW w:w="1022"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60.0</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1,062</w:t>
            </w:r>
          </w:p>
        </w:tc>
        <w:tc>
          <w:tcPr>
            <w:tcW w:w="967" w:type="dxa"/>
            <w:tcBorders>
              <w:bottom w:val="single" w:sz="2" w:space="0" w:color="7F7F7F" w:themeColor="text1" w:themeTint="80"/>
              <w:right w:val="single" w:sz="4" w:space="0" w:color="auto"/>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40.0</w:t>
            </w:r>
          </w:p>
          <w:p w:rsidR="001743D6" w:rsidRPr="001743D6" w:rsidRDefault="001743D6" w:rsidP="001743D6">
            <w:pPr>
              <w:rPr>
                <w:rFonts w:ascii="Segoe UI" w:hAnsi="Segoe UI" w:cs="Segoe UI"/>
                <w:lang w:eastAsia="en-AU"/>
              </w:rPr>
            </w:pPr>
          </w:p>
          <w:p w:rsidR="001743D6" w:rsidRPr="001743D6" w:rsidRDefault="001743D6" w:rsidP="001743D6">
            <w:pPr>
              <w:rPr>
                <w:rFonts w:ascii="Segoe UI" w:hAnsi="Segoe UI" w:cs="Segoe UI"/>
                <w:lang w:eastAsia="en-AU"/>
              </w:rPr>
            </w:pPr>
          </w:p>
        </w:tc>
        <w:tc>
          <w:tcPr>
            <w:tcW w:w="1073" w:type="dxa"/>
            <w:tcBorders>
              <w:left w:val="single" w:sz="4" w:space="0" w:color="auto"/>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2,655</w:t>
            </w:r>
          </w:p>
        </w:tc>
        <w:tc>
          <w:tcPr>
            <w:tcW w:w="1073"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1,627</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61.27</w:t>
            </w:r>
          </w:p>
        </w:tc>
        <w:tc>
          <w:tcPr>
            <w:tcW w:w="1020" w:type="dxa"/>
            <w:gridSpan w:val="2"/>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1,029</w:t>
            </w:r>
          </w:p>
        </w:tc>
        <w:tc>
          <w:tcPr>
            <w:tcW w:w="99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38.7</w:t>
            </w:r>
          </w:p>
        </w:tc>
      </w:tr>
      <w:tr w:rsidR="001743D6" w:rsidRPr="001743D6" w:rsidTr="00D06FDE">
        <w:trPr>
          <w:trHeight w:hRule="exact" w:val="340"/>
        </w:trPr>
        <w:tc>
          <w:tcPr>
            <w:tcW w:w="1073" w:type="dxa"/>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keepNext/>
              <w:spacing w:after="0" w:line="240" w:lineRule="auto"/>
              <w:jc w:val="center"/>
              <w:rPr>
                <w:rFonts w:ascii="Segoe UI" w:eastAsia="Calibri" w:hAnsi="Segoe UI" w:cs="Calibri"/>
                <w:sz w:val="19"/>
                <w:szCs w:val="19"/>
                <w:lang w:eastAsia="en-AU"/>
              </w:rPr>
            </w:pPr>
          </w:p>
        </w:tc>
        <w:tc>
          <w:tcPr>
            <w:tcW w:w="11428" w:type="dxa"/>
            <w:gridSpan w:val="12"/>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keepNext/>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r>
      <w:tr w:rsidR="001743D6" w:rsidRPr="001743D6" w:rsidTr="00D06FDE">
        <w:trPr>
          <w:trHeight w:hRule="exact" w:val="340"/>
        </w:trPr>
        <w:tc>
          <w:tcPr>
            <w:tcW w:w="2410" w:type="dxa"/>
            <w:gridSpan w:val="2"/>
            <w:tcBorders>
              <w:top w:val="single" w:sz="2" w:space="0" w:color="7F7F7F" w:themeColor="text1" w:themeTint="80"/>
            </w:tcBorders>
            <w:hideMark/>
          </w:tcPr>
          <w:p w:rsidR="001743D6" w:rsidRPr="001743D6" w:rsidRDefault="001743D6" w:rsidP="001743D6">
            <w:pPr>
              <w:keepNext/>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Parks and reserves</w:t>
            </w:r>
          </w:p>
        </w:tc>
        <w:tc>
          <w:tcPr>
            <w:tcW w:w="93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368</w:t>
            </w:r>
          </w:p>
        </w:tc>
        <w:tc>
          <w:tcPr>
            <w:tcW w:w="96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332</w:t>
            </w:r>
          </w:p>
        </w:tc>
        <w:tc>
          <w:tcPr>
            <w:tcW w:w="1022"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14.3</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w:t>
            </w:r>
          </w:p>
        </w:tc>
        <w:tc>
          <w:tcPr>
            <w:tcW w:w="967" w:type="dxa"/>
            <w:tcBorders>
              <w:top w:val="single" w:sz="2" w:space="0" w:color="7F7F7F" w:themeColor="text1" w:themeTint="80"/>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w:t>
            </w:r>
          </w:p>
        </w:tc>
        <w:tc>
          <w:tcPr>
            <w:tcW w:w="1073" w:type="dxa"/>
            <w:tcBorders>
              <w:top w:val="single" w:sz="2" w:space="0" w:color="7F7F7F" w:themeColor="text1" w:themeTint="80"/>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418</w:t>
            </w:r>
          </w:p>
        </w:tc>
        <w:tc>
          <w:tcPr>
            <w:tcW w:w="1073"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353</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15.23</w:t>
            </w:r>
          </w:p>
        </w:tc>
        <w:tc>
          <w:tcPr>
            <w:tcW w:w="1020" w:type="dxa"/>
            <w:gridSpan w:val="2"/>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65</w:t>
            </w:r>
          </w:p>
        </w:tc>
        <w:tc>
          <w:tcPr>
            <w:tcW w:w="99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State forest</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783</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763</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32.9</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0.9</w:t>
            </w:r>
          </w:p>
          <w:p w:rsidR="001743D6" w:rsidRPr="001743D6" w:rsidRDefault="001743D6" w:rsidP="001743D6">
            <w:pPr>
              <w:rPr>
                <w:rFonts w:ascii="Segoe UI" w:hAnsi="Segoe UI" w:cs="Segoe UI"/>
                <w:lang w:eastAsia="en-AU"/>
              </w:rPr>
            </w:pP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201</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175</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7.52</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26</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38.3</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Other Crown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110</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56</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2.4</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54</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979</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90</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3.84</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889</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2.8</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Private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1,060</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185</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8.0</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875</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37.7</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724</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716</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30.88</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0.3</w:t>
            </w:r>
          </w:p>
        </w:tc>
      </w:tr>
      <w:tr w:rsidR="001743D6" w:rsidRPr="001743D6" w:rsidTr="00D06FDE">
        <w:trPr>
          <w:trHeight w:hRule="exact" w:val="340"/>
        </w:trPr>
        <w:tc>
          <w:tcPr>
            <w:tcW w:w="2410" w:type="dxa"/>
            <w:gridSpan w:val="2"/>
            <w:tcBorders>
              <w:bottom w:val="single" w:sz="2" w:space="0" w:color="7F7F7F" w:themeColor="text1" w:themeTint="80"/>
            </w:tcBorders>
            <w:shd w:val="clear" w:color="auto" w:fill="auto"/>
            <w:hideMark/>
          </w:tcPr>
          <w:p w:rsidR="001743D6" w:rsidRPr="001743D6" w:rsidRDefault="001743D6" w:rsidP="001743D6">
            <w:pPr>
              <w:rPr>
                <w:rFonts w:ascii="Segoe UI" w:hAnsi="Segoe UI" w:cs="Segoe UI"/>
              </w:rPr>
            </w:pPr>
            <w:r w:rsidRPr="001743D6">
              <w:rPr>
                <w:rFonts w:ascii="Segoe UI" w:eastAsia="Calibri" w:hAnsi="Segoe UI" w:cs="Calibri"/>
                <w:b/>
                <w:sz w:val="19"/>
                <w:szCs w:val="19"/>
                <w:lang w:eastAsia="en-AU"/>
              </w:rPr>
              <w:t>Total North East</w:t>
            </w:r>
          </w:p>
        </w:tc>
        <w:tc>
          <w:tcPr>
            <w:tcW w:w="93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2,317</w:t>
            </w:r>
          </w:p>
        </w:tc>
        <w:tc>
          <w:tcPr>
            <w:tcW w:w="96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1,335</w:t>
            </w:r>
          </w:p>
        </w:tc>
        <w:tc>
          <w:tcPr>
            <w:tcW w:w="1022"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57.6</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984</w:t>
            </w:r>
          </w:p>
        </w:tc>
        <w:tc>
          <w:tcPr>
            <w:tcW w:w="967" w:type="dxa"/>
            <w:tcBorders>
              <w:bottom w:val="single" w:sz="2" w:space="0" w:color="7F7F7F" w:themeColor="text1" w:themeTint="80"/>
              <w:right w:val="single" w:sz="4" w:space="0" w:color="auto"/>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42.4</w:t>
            </w:r>
          </w:p>
        </w:tc>
        <w:tc>
          <w:tcPr>
            <w:tcW w:w="1073" w:type="dxa"/>
            <w:tcBorders>
              <w:left w:val="single" w:sz="4" w:space="0" w:color="auto"/>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2,317</w:t>
            </w:r>
          </w:p>
        </w:tc>
        <w:tc>
          <w:tcPr>
            <w:tcW w:w="1073"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1,332</w:t>
            </w:r>
          </w:p>
        </w:tc>
        <w:tc>
          <w:tcPr>
            <w:tcW w:w="1020"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57.47</w:t>
            </w:r>
          </w:p>
        </w:tc>
        <w:tc>
          <w:tcPr>
            <w:tcW w:w="1020" w:type="dxa"/>
            <w:gridSpan w:val="2"/>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986</w:t>
            </w:r>
          </w:p>
        </w:tc>
        <w:tc>
          <w:tcPr>
            <w:tcW w:w="998" w:type="dxa"/>
            <w:tcBorders>
              <w:bottom w:val="single" w:sz="2" w:space="0" w:color="7F7F7F" w:themeColor="text1" w:themeTint="80"/>
            </w:tcBorders>
            <w:shd w:val="clear" w:color="auto" w:fill="auto"/>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42.5</w:t>
            </w:r>
          </w:p>
        </w:tc>
      </w:tr>
      <w:tr w:rsidR="001743D6" w:rsidRPr="001743D6" w:rsidTr="00D06FDE">
        <w:trPr>
          <w:trHeight w:hRule="exact" w:val="340"/>
        </w:trPr>
        <w:tc>
          <w:tcPr>
            <w:tcW w:w="1073" w:type="dxa"/>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11428" w:type="dxa"/>
            <w:gridSpan w:val="12"/>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r>
      <w:tr w:rsidR="001743D6" w:rsidRPr="001743D6" w:rsidTr="00D06FDE">
        <w:trPr>
          <w:trHeight w:hRule="exact" w:val="340"/>
        </w:trPr>
        <w:tc>
          <w:tcPr>
            <w:tcW w:w="2410" w:type="dxa"/>
            <w:gridSpan w:val="2"/>
            <w:tcBorders>
              <w:top w:val="single" w:sz="2" w:space="0" w:color="7F7F7F" w:themeColor="text1" w:themeTint="80"/>
            </w:tcBorders>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Parks and reserves</w:t>
            </w:r>
          </w:p>
        </w:tc>
        <w:tc>
          <w:tcPr>
            <w:tcW w:w="93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517</w:t>
            </w:r>
          </w:p>
        </w:tc>
        <w:tc>
          <w:tcPr>
            <w:tcW w:w="96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473</w:t>
            </w:r>
          </w:p>
        </w:tc>
        <w:tc>
          <w:tcPr>
            <w:tcW w:w="1022"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8.2</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44</w:t>
            </w:r>
          </w:p>
        </w:tc>
        <w:tc>
          <w:tcPr>
            <w:tcW w:w="967" w:type="dxa"/>
            <w:tcBorders>
              <w:top w:val="single" w:sz="2" w:space="0" w:color="7F7F7F" w:themeColor="text1" w:themeTint="80"/>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0.7</w:t>
            </w:r>
          </w:p>
        </w:tc>
        <w:tc>
          <w:tcPr>
            <w:tcW w:w="1073" w:type="dxa"/>
            <w:tcBorders>
              <w:top w:val="single" w:sz="2" w:space="0" w:color="7F7F7F" w:themeColor="text1" w:themeTint="80"/>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604</w:t>
            </w:r>
          </w:p>
        </w:tc>
        <w:tc>
          <w:tcPr>
            <w:tcW w:w="1073"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449</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7.77</w:t>
            </w:r>
          </w:p>
        </w:tc>
        <w:tc>
          <w:tcPr>
            <w:tcW w:w="1020" w:type="dxa"/>
            <w:gridSpan w:val="2"/>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155</w:t>
            </w:r>
          </w:p>
        </w:tc>
        <w:tc>
          <w:tcPr>
            <w:tcW w:w="99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0.7</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State forest</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303</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282</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4.9</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21</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0.4</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575</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532</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9.20</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43</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72.7</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Other Crown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231</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80</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151</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2.6</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4,291</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98</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1.68</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4,193</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2.7</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Private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4,725</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501</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8.7</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4,224</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73.2</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305</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293</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5.07</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0.2</w:t>
            </w:r>
          </w:p>
        </w:tc>
      </w:tr>
      <w:tr w:rsidR="001743D6" w:rsidRPr="001743D6" w:rsidTr="00D06FDE">
        <w:trPr>
          <w:trHeight w:hRule="exact" w:val="340"/>
        </w:trPr>
        <w:tc>
          <w:tcPr>
            <w:tcW w:w="2410" w:type="dxa"/>
            <w:gridSpan w:val="2"/>
            <w:tcBorders>
              <w:bottom w:val="single" w:sz="2" w:space="0" w:color="7F7F7F" w:themeColor="text1" w:themeTint="80"/>
            </w:tcBorders>
          </w:tcPr>
          <w:p w:rsidR="001743D6" w:rsidRPr="001743D6" w:rsidRDefault="001743D6" w:rsidP="001743D6">
            <w:pPr>
              <w:rPr>
                <w:rFonts w:ascii="Segoe UI" w:hAnsi="Segoe UI" w:cs="Segoe UI"/>
              </w:rPr>
            </w:pPr>
            <w:r w:rsidRPr="001743D6">
              <w:rPr>
                <w:rFonts w:ascii="Segoe UI" w:eastAsia="Calibri" w:hAnsi="Segoe UI" w:cs="Calibri"/>
                <w:b/>
                <w:sz w:val="19"/>
                <w:szCs w:val="19"/>
                <w:lang w:eastAsia="en-AU"/>
              </w:rPr>
              <w:t>Total West</w:t>
            </w:r>
          </w:p>
        </w:tc>
        <w:tc>
          <w:tcPr>
            <w:tcW w:w="938" w:type="dxa"/>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5,770</w:t>
            </w:r>
          </w:p>
        </w:tc>
        <w:tc>
          <w:tcPr>
            <w:tcW w:w="960" w:type="dxa"/>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1,334</w:t>
            </w:r>
          </w:p>
        </w:tc>
        <w:tc>
          <w:tcPr>
            <w:tcW w:w="1022" w:type="dxa"/>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23.1</w:t>
            </w:r>
          </w:p>
        </w:tc>
        <w:tc>
          <w:tcPr>
            <w:tcW w:w="1020" w:type="dxa"/>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4,439</w:t>
            </w:r>
          </w:p>
        </w:tc>
        <w:tc>
          <w:tcPr>
            <w:tcW w:w="967" w:type="dxa"/>
            <w:tcBorders>
              <w:bottom w:val="single" w:sz="2" w:space="0" w:color="7F7F7F" w:themeColor="text1" w:themeTint="80"/>
              <w:right w:val="single" w:sz="4" w:space="0" w:color="auto"/>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76.9</w:t>
            </w:r>
          </w:p>
        </w:tc>
        <w:tc>
          <w:tcPr>
            <w:tcW w:w="1073" w:type="dxa"/>
            <w:tcBorders>
              <w:left w:val="single" w:sz="4" w:space="0" w:color="auto"/>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5,770</w:t>
            </w:r>
          </w:p>
        </w:tc>
        <w:tc>
          <w:tcPr>
            <w:tcW w:w="1073" w:type="dxa"/>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1,369</w:t>
            </w:r>
          </w:p>
        </w:tc>
        <w:tc>
          <w:tcPr>
            <w:tcW w:w="1020" w:type="dxa"/>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23.73</w:t>
            </w:r>
          </w:p>
        </w:tc>
        <w:tc>
          <w:tcPr>
            <w:tcW w:w="1020" w:type="dxa"/>
            <w:gridSpan w:val="2"/>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4,401</w:t>
            </w:r>
          </w:p>
        </w:tc>
        <w:tc>
          <w:tcPr>
            <w:tcW w:w="998" w:type="dxa"/>
            <w:tcBorders>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76.3</w:t>
            </w:r>
          </w:p>
        </w:tc>
      </w:tr>
      <w:tr w:rsidR="001743D6" w:rsidRPr="001743D6" w:rsidTr="00D06FDE">
        <w:trPr>
          <w:trHeight w:hRule="exact" w:val="340"/>
        </w:trPr>
        <w:tc>
          <w:tcPr>
            <w:tcW w:w="1073" w:type="dxa"/>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p>
        </w:tc>
        <w:tc>
          <w:tcPr>
            <w:tcW w:w="11428" w:type="dxa"/>
            <w:gridSpan w:val="12"/>
            <w:tcBorders>
              <w:top w:val="single" w:sz="2" w:space="0" w:color="7F7F7F" w:themeColor="text1" w:themeTint="80"/>
              <w:bottom w:val="single" w:sz="2" w:space="0" w:color="7F7F7F" w:themeColor="text1" w:themeTint="80"/>
            </w:tcBorders>
            <w:shd w:val="clear" w:color="auto" w:fill="F2F2F2" w:themeFill="background1" w:themeFillShade="F2"/>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r>
      <w:tr w:rsidR="001743D6" w:rsidRPr="001743D6" w:rsidTr="00D06FDE">
        <w:trPr>
          <w:trHeight w:hRule="exact" w:val="340"/>
        </w:trPr>
        <w:tc>
          <w:tcPr>
            <w:tcW w:w="2410" w:type="dxa"/>
            <w:gridSpan w:val="2"/>
            <w:tcBorders>
              <w:top w:val="single" w:sz="2" w:space="0" w:color="7F7F7F" w:themeColor="text1" w:themeTint="80"/>
            </w:tcBorders>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Parks and reserves</w:t>
            </w:r>
          </w:p>
        </w:tc>
        <w:tc>
          <w:tcPr>
            <w:tcW w:w="93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1,665</w:t>
            </w:r>
          </w:p>
        </w:tc>
        <w:tc>
          <w:tcPr>
            <w:tcW w:w="96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1,111</w:t>
            </w:r>
          </w:p>
        </w:tc>
        <w:tc>
          <w:tcPr>
            <w:tcW w:w="1022"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11.5</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554</w:t>
            </w:r>
          </w:p>
        </w:tc>
        <w:tc>
          <w:tcPr>
            <w:tcW w:w="967" w:type="dxa"/>
            <w:tcBorders>
              <w:top w:val="single" w:sz="2" w:space="0" w:color="7F7F7F" w:themeColor="text1" w:themeTint="80"/>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5.7</w:t>
            </w:r>
          </w:p>
        </w:tc>
        <w:tc>
          <w:tcPr>
            <w:tcW w:w="1073" w:type="dxa"/>
            <w:tcBorders>
              <w:top w:val="single" w:sz="2" w:space="0" w:color="7F7F7F" w:themeColor="text1" w:themeTint="80"/>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1,359</w:t>
            </w:r>
          </w:p>
        </w:tc>
        <w:tc>
          <w:tcPr>
            <w:tcW w:w="1073"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1,120</w:t>
            </w:r>
          </w:p>
        </w:tc>
        <w:tc>
          <w:tcPr>
            <w:tcW w:w="1020"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11.62</w:t>
            </w:r>
          </w:p>
        </w:tc>
        <w:tc>
          <w:tcPr>
            <w:tcW w:w="1020" w:type="dxa"/>
            <w:gridSpan w:val="2"/>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239</w:t>
            </w:r>
          </w:p>
        </w:tc>
        <w:tc>
          <w:tcPr>
            <w:tcW w:w="998" w:type="dxa"/>
            <w:tcBorders>
              <w:top w:val="single" w:sz="2" w:space="0" w:color="7F7F7F" w:themeColor="text1" w:themeTint="80"/>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5.9</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State forest</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393</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231</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2.4</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162</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832</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264</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2.74</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568</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72.2</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Other Crown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376</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118</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258</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2.7</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7,053</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92</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0.95</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6,961</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2.5</w:t>
            </w:r>
          </w:p>
        </w:tc>
      </w:tr>
      <w:tr w:rsidR="001743D6" w:rsidRPr="001743D6" w:rsidTr="00D06FDE">
        <w:trPr>
          <w:trHeight w:hRule="exact" w:val="340"/>
        </w:trPr>
        <w:tc>
          <w:tcPr>
            <w:tcW w:w="2410" w:type="dxa"/>
            <w:gridSpan w:val="2"/>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Private land</w:t>
            </w:r>
          </w:p>
        </w:tc>
        <w:tc>
          <w:tcPr>
            <w:tcW w:w="93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7,204</w:t>
            </w:r>
          </w:p>
        </w:tc>
        <w:tc>
          <w:tcPr>
            <w:tcW w:w="96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247</w:t>
            </w:r>
          </w:p>
        </w:tc>
        <w:tc>
          <w:tcPr>
            <w:tcW w:w="1022"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2.6</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6,957</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72.2</w:t>
            </w:r>
          </w:p>
        </w:tc>
        <w:tc>
          <w:tcPr>
            <w:tcW w:w="1073" w:type="dxa"/>
            <w:tcBorders>
              <w:left w:val="single" w:sz="4" w:space="0" w:color="auto"/>
            </w:tcBorders>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394</w:t>
            </w:r>
          </w:p>
        </w:tc>
        <w:tc>
          <w:tcPr>
            <w:tcW w:w="1073"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228</w:t>
            </w:r>
          </w:p>
        </w:tc>
        <w:tc>
          <w:tcPr>
            <w:tcW w:w="1020"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2.36</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166</w:t>
            </w:r>
          </w:p>
        </w:tc>
        <w:tc>
          <w:tcPr>
            <w:tcW w:w="998" w:type="dxa"/>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w:t>
            </w:r>
          </w:p>
        </w:tc>
      </w:tr>
      <w:tr w:rsidR="001743D6" w:rsidRPr="001743D6" w:rsidTr="00D06FDE">
        <w:trPr>
          <w:trHeight w:hRule="exact" w:val="340"/>
        </w:trPr>
        <w:tc>
          <w:tcPr>
            <w:tcW w:w="2410" w:type="dxa"/>
            <w:gridSpan w:val="2"/>
            <w:hideMark/>
          </w:tcPr>
          <w:p w:rsidR="001743D6" w:rsidRPr="001743D6" w:rsidRDefault="001743D6" w:rsidP="001743D6">
            <w:pPr>
              <w:rPr>
                <w:rFonts w:ascii="Segoe UI" w:hAnsi="Segoe UI" w:cs="Segoe UI"/>
              </w:rPr>
            </w:pPr>
            <w:r w:rsidRPr="001743D6">
              <w:rPr>
                <w:rFonts w:ascii="Segoe UI" w:eastAsia="Calibri" w:hAnsi="Segoe UI" w:cs="Calibri"/>
                <w:b/>
                <w:sz w:val="19"/>
                <w:szCs w:val="19"/>
                <w:lang w:eastAsia="en-AU"/>
              </w:rPr>
              <w:t>Total non-RFA</w:t>
            </w:r>
            <w:r w:rsidRPr="001743D6">
              <w:rPr>
                <w:rFonts w:ascii="Segoe UI" w:hAnsi="Segoe UI" w:cs="Segoe UI"/>
              </w:rPr>
              <w:t xml:space="preserve"> </w:t>
            </w:r>
          </w:p>
        </w:tc>
        <w:tc>
          <w:tcPr>
            <w:tcW w:w="938" w:type="dxa"/>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9,635</w:t>
            </w:r>
          </w:p>
        </w:tc>
        <w:tc>
          <w:tcPr>
            <w:tcW w:w="960" w:type="dxa"/>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1,706</w:t>
            </w:r>
          </w:p>
        </w:tc>
        <w:tc>
          <w:tcPr>
            <w:tcW w:w="1022" w:type="dxa"/>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17.7</w:t>
            </w:r>
          </w:p>
        </w:tc>
        <w:tc>
          <w:tcPr>
            <w:tcW w:w="1020" w:type="dxa"/>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7,929</w:t>
            </w:r>
          </w:p>
        </w:tc>
        <w:tc>
          <w:tcPr>
            <w:tcW w:w="967" w:type="dxa"/>
            <w:tcBorders>
              <w:right w:val="single" w:sz="4" w:space="0" w:color="auto"/>
            </w:tcBorders>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82.3</w:t>
            </w:r>
          </w:p>
        </w:tc>
        <w:tc>
          <w:tcPr>
            <w:tcW w:w="1073" w:type="dxa"/>
            <w:tcBorders>
              <w:left w:val="single" w:sz="4" w:space="0" w:color="auto"/>
              <w:bottom w:val="single" w:sz="2" w:space="0" w:color="7F7F7F" w:themeColor="text1" w:themeTint="80"/>
            </w:tcBorders>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9,635</w:t>
            </w:r>
          </w:p>
        </w:tc>
        <w:tc>
          <w:tcPr>
            <w:tcW w:w="1073" w:type="dxa"/>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1,702</w:t>
            </w:r>
          </w:p>
        </w:tc>
        <w:tc>
          <w:tcPr>
            <w:tcW w:w="1020" w:type="dxa"/>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17.66</w:t>
            </w:r>
          </w:p>
        </w:tc>
        <w:tc>
          <w:tcPr>
            <w:tcW w:w="1020" w:type="dxa"/>
            <w:gridSpan w:val="2"/>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7,933</w:t>
            </w:r>
          </w:p>
        </w:tc>
        <w:tc>
          <w:tcPr>
            <w:tcW w:w="998" w:type="dxa"/>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82.3</w:t>
            </w:r>
          </w:p>
        </w:tc>
      </w:tr>
      <w:tr w:rsidR="001743D6" w:rsidRPr="001743D6" w:rsidTr="00D06FDE">
        <w:trPr>
          <w:trHeight w:hRule="exact" w:val="340"/>
        </w:trPr>
        <w:tc>
          <w:tcPr>
            <w:tcW w:w="2410" w:type="dxa"/>
            <w:gridSpan w:val="2"/>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rPr>
                <w:rFonts w:ascii="Segoe UI" w:eastAsia="Calibri" w:hAnsi="Segoe UI" w:cs="Calibri"/>
                <w:b/>
                <w:sz w:val="19"/>
                <w:szCs w:val="19"/>
                <w:lang w:eastAsia="en-AU"/>
              </w:rPr>
            </w:pPr>
            <w:r w:rsidRPr="001743D6">
              <w:rPr>
                <w:rFonts w:ascii="Segoe UI" w:eastAsia="Calibri" w:hAnsi="Segoe UI" w:cs="Calibri"/>
                <w:b/>
                <w:sz w:val="19"/>
                <w:szCs w:val="19"/>
                <w:lang w:eastAsia="en-AU"/>
              </w:rPr>
              <w:t>Grand total</w:t>
            </w:r>
          </w:p>
        </w:tc>
        <w:tc>
          <w:tcPr>
            <w:tcW w:w="938" w:type="dxa"/>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22,725</w:t>
            </w:r>
          </w:p>
        </w:tc>
        <w:tc>
          <w:tcPr>
            <w:tcW w:w="960" w:type="dxa"/>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7,810</w:t>
            </w:r>
          </w:p>
        </w:tc>
        <w:tc>
          <w:tcPr>
            <w:tcW w:w="1022" w:type="dxa"/>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34.4</w:t>
            </w:r>
          </w:p>
        </w:tc>
        <w:tc>
          <w:tcPr>
            <w:tcW w:w="1020" w:type="dxa"/>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14,915</w:t>
            </w:r>
          </w:p>
        </w:tc>
        <w:tc>
          <w:tcPr>
            <w:tcW w:w="967" w:type="dxa"/>
            <w:tcBorders>
              <w:top w:val="single" w:sz="2" w:space="0" w:color="7F7F7F" w:themeColor="text1" w:themeTint="80"/>
              <w:bottom w:val="single" w:sz="2" w:space="0" w:color="7F7F7F" w:themeColor="text1" w:themeTint="80"/>
              <w:right w:val="single" w:sz="4" w:space="0" w:color="auto"/>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65.6</w:t>
            </w:r>
          </w:p>
        </w:tc>
        <w:tc>
          <w:tcPr>
            <w:tcW w:w="1073" w:type="dxa"/>
            <w:tcBorders>
              <w:top w:val="single" w:sz="2" w:space="0" w:color="7F7F7F" w:themeColor="text1" w:themeTint="80"/>
              <w:left w:val="single" w:sz="4" w:space="0" w:color="auto"/>
              <w:bottom w:val="single" w:sz="2" w:space="0" w:color="7F7F7F" w:themeColor="text1" w:themeTint="80"/>
            </w:tcBorders>
            <w:shd w:val="clear" w:color="auto" w:fill="BFBFBF" w:themeFill="background1" w:themeFillShade="BF"/>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22,722</w:t>
            </w:r>
          </w:p>
        </w:tc>
        <w:tc>
          <w:tcPr>
            <w:tcW w:w="1073" w:type="dxa"/>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7,8760</w:t>
            </w:r>
          </w:p>
        </w:tc>
        <w:tc>
          <w:tcPr>
            <w:tcW w:w="1020" w:type="dxa"/>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34.66</w:t>
            </w:r>
          </w:p>
        </w:tc>
        <w:tc>
          <w:tcPr>
            <w:tcW w:w="1020" w:type="dxa"/>
            <w:gridSpan w:val="2"/>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14,846</w:t>
            </w:r>
          </w:p>
        </w:tc>
        <w:tc>
          <w:tcPr>
            <w:tcW w:w="998" w:type="dxa"/>
            <w:tcBorders>
              <w:top w:val="single" w:sz="2" w:space="0" w:color="7F7F7F" w:themeColor="text1" w:themeTint="80"/>
              <w:bottom w:val="single" w:sz="2" w:space="0" w:color="7F7F7F" w:themeColor="text1" w:themeTint="80"/>
            </w:tcBorders>
            <w:shd w:val="clear" w:color="auto" w:fill="BFBFBF" w:themeFill="background1" w:themeFillShade="BF"/>
            <w:hideMark/>
          </w:tcPr>
          <w:p w:rsidR="001743D6" w:rsidRPr="001743D6" w:rsidRDefault="001743D6" w:rsidP="001743D6">
            <w:pPr>
              <w:spacing w:before="20" w:after="0" w:line="240" w:lineRule="auto"/>
              <w:jc w:val="right"/>
              <w:rPr>
                <w:rFonts w:ascii="Segoe UI" w:eastAsia="Calibri" w:hAnsi="Segoe UI" w:cs="Calibri"/>
                <w:b/>
                <w:color w:val="000000"/>
                <w:sz w:val="19"/>
                <w:szCs w:val="19"/>
                <w:lang w:eastAsia="en-AU"/>
              </w:rPr>
            </w:pPr>
            <w:r w:rsidRPr="001743D6">
              <w:rPr>
                <w:rFonts w:ascii="Segoe UI" w:eastAsia="Calibri" w:hAnsi="Segoe UI" w:cs="Calibri"/>
                <w:b/>
                <w:color w:val="000000"/>
                <w:sz w:val="19"/>
                <w:szCs w:val="19"/>
                <w:lang w:eastAsia="en-AU"/>
              </w:rPr>
              <w:t>65.3</w:t>
            </w:r>
          </w:p>
        </w:tc>
      </w:tr>
    </w:tbl>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Note: Numbers may not add up due to rounding.  Source: DELWP – forest cover change maps were produced from Landsat data and processed using the Random Forest Model. The forest masks are derived from 2009 and 2013 imagery to represent the 2013 and 2018 publication years. </w:t>
      </w:r>
    </w:p>
    <w:p w:rsidR="001743D6" w:rsidRPr="001743D6" w:rsidRDefault="001743D6" w:rsidP="001743D6">
      <w:pPr>
        <w:spacing w:before="80"/>
        <w:rPr>
          <w:rFonts w:ascii="Segoe UI" w:eastAsia="STZhongsong" w:hAnsi="Segoe UI" w:cs="Segoe UI"/>
          <w:bCs/>
          <w:sz w:val="18"/>
          <w:szCs w:val="18"/>
          <w:lang w:eastAsia="ko-KR"/>
        </w:rPr>
        <w:sectPr w:rsidR="001743D6" w:rsidRPr="001743D6" w:rsidSect="00D06FDE">
          <w:pgSz w:w="16838" w:h="11906" w:orient="landscape" w:code="9"/>
          <w:pgMar w:top="1021" w:right="1418" w:bottom="1021" w:left="1418" w:header="737" w:footer="329" w:gutter="0"/>
          <w:cols w:space="708"/>
          <w:docGrid w:linePitch="360"/>
        </w:sectPr>
      </w:pPr>
    </w:p>
    <w:p w:rsidR="001743D6" w:rsidRPr="001743D6" w:rsidRDefault="001743D6" w:rsidP="001743D6">
      <w:pPr>
        <w:keepNext/>
        <w:spacing w:before="240" w:after="240" w:line="240" w:lineRule="auto"/>
        <w:outlineLvl w:val="2"/>
        <w:rPr>
          <w:rFonts w:ascii="Segoe UI" w:hAnsi="Segoe UI" w:cs="Segoe UI"/>
          <w:b/>
          <w:color w:val="000000"/>
          <w:sz w:val="24"/>
          <w:szCs w:val="24"/>
        </w:rPr>
      </w:pPr>
      <w:bookmarkStart w:id="13" w:name="_Toc11768309"/>
      <w:bookmarkStart w:id="14" w:name="_Toc33002088"/>
      <w:r w:rsidRPr="001743D6">
        <w:rPr>
          <w:rFonts w:ascii="Segoe UI" w:hAnsi="Segoe UI" w:cs="Segoe UI"/>
          <w:b/>
          <w:color w:val="000000"/>
          <w:sz w:val="24"/>
          <w:szCs w:val="24"/>
        </w:rPr>
        <w:t>Indicator 1.1c: Area of forest in protected area categories</w:t>
      </w:r>
      <w:bookmarkEnd w:id="13"/>
      <w:bookmarkEnd w:id="14"/>
      <w:r w:rsidRPr="001743D6">
        <w:rPr>
          <w:rFonts w:ascii="Segoe UI" w:hAnsi="Segoe UI" w:cs="Segoe UI"/>
          <w:b/>
          <w:color w:val="000000"/>
          <w:sz w:val="24"/>
          <w:szCs w:val="24"/>
        </w:rPr>
        <w:t xml:space="preserve">  </w:t>
      </w:r>
    </w:p>
    <w:p w:rsidR="001743D6" w:rsidRPr="001743D6" w:rsidRDefault="001743D6" w:rsidP="001743D6">
      <w:pPr>
        <w:jc w:val="both"/>
        <w:rPr>
          <w:rFonts w:ascii="Segoe UI" w:hAnsi="Segoe UI" w:cs="Segoe UI"/>
        </w:rPr>
      </w:pPr>
      <w:r w:rsidRPr="001743D6">
        <w:rPr>
          <w:rFonts w:ascii="Segoe UI" w:hAnsi="Segoe UI" w:cs="Segoe UI"/>
        </w:rPr>
        <w:t>In the context of the RFAs, the management of forests in Australia is guided by the NFPS: a set of broad goals agreed to by Commonwealth, state and territory governments. The goal of the NFPS is to implement the concept of sustainable forest management, aiming for Australia’s native forests to conserve biological diversity, heritage and cultural values, while at the same time developing an internationally competitive forest products industry based on native forests that are managed sustainably.</w:t>
      </w:r>
    </w:p>
    <w:p w:rsidR="001743D6" w:rsidRPr="001743D6" w:rsidRDefault="001743D6" w:rsidP="001743D6">
      <w:pPr>
        <w:jc w:val="both"/>
        <w:rPr>
          <w:rFonts w:ascii="Segoe UI" w:hAnsi="Segoe UI" w:cs="Segoe UI"/>
        </w:rPr>
      </w:pPr>
      <w:r w:rsidRPr="001743D6">
        <w:rPr>
          <w:rFonts w:ascii="Segoe UI" w:hAnsi="Segoe UI" w:cs="Segoe UI"/>
        </w:rPr>
        <w:t xml:space="preserve">Major elements of the NFPS include a commitment to the development of a CAR reserve system, and implementation of strategies to protect old-growth forests and wilderness as part of the reserve system. The CAR reserve system is based on three principles: </w:t>
      </w:r>
    </w:p>
    <w:p w:rsidR="001743D6" w:rsidRPr="00D06FDE" w:rsidRDefault="001743D6" w:rsidP="00001355">
      <w:pPr>
        <w:pStyle w:val="ListParagraph"/>
        <w:numPr>
          <w:ilvl w:val="0"/>
          <w:numId w:val="42"/>
        </w:numPr>
        <w:ind w:left="709" w:hanging="425"/>
      </w:pPr>
      <w:r w:rsidRPr="00D06FDE">
        <w:t>including the full range of vegetation communities (comprehensive)</w:t>
      </w:r>
    </w:p>
    <w:p w:rsidR="001743D6" w:rsidRPr="00D06FDE" w:rsidRDefault="001743D6" w:rsidP="00001355">
      <w:pPr>
        <w:pStyle w:val="ListParagraph"/>
        <w:numPr>
          <w:ilvl w:val="0"/>
          <w:numId w:val="42"/>
        </w:numPr>
        <w:ind w:left="709" w:hanging="425"/>
      </w:pPr>
      <w:r w:rsidRPr="00D06FDE">
        <w:t>ensuring the level of reservation is large enough to maintain species diversity (adequate)</w:t>
      </w:r>
    </w:p>
    <w:p w:rsidR="001743D6" w:rsidRPr="00D06FDE" w:rsidRDefault="001743D6" w:rsidP="00001355">
      <w:pPr>
        <w:pStyle w:val="ListParagraph"/>
        <w:numPr>
          <w:ilvl w:val="0"/>
          <w:numId w:val="42"/>
        </w:numPr>
        <w:ind w:left="709" w:hanging="425"/>
      </w:pPr>
      <w:r w:rsidRPr="00D06FDE">
        <w:t>conserving the diversity within each vegetation community, including genetic diversity (representative).</w:t>
      </w:r>
    </w:p>
    <w:p w:rsidR="001743D6" w:rsidRPr="001743D6" w:rsidRDefault="001743D6" w:rsidP="001743D6">
      <w:pPr>
        <w:jc w:val="both"/>
        <w:rPr>
          <w:rFonts w:ascii="Segoe UI" w:hAnsi="Segoe UI" w:cs="Segoe UI"/>
        </w:rPr>
      </w:pPr>
      <w:r w:rsidRPr="001743D6">
        <w:rPr>
          <w:rFonts w:ascii="Segoe UI" w:hAnsi="Segoe UI" w:cs="Segoe UI"/>
        </w:rPr>
        <w:t xml:space="preserve">The system identifies the forested areas based on JANIS criteria to protect nature conservation reserves. It contains four categories: formal reserves, informal reserves, areas managed by prescription and areas managed for protection on private land, defined as follows: </w:t>
      </w:r>
    </w:p>
    <w:p w:rsidR="001743D6" w:rsidRPr="003E70FC" w:rsidRDefault="001743D6" w:rsidP="00001355">
      <w:pPr>
        <w:pStyle w:val="ListParagraph"/>
        <w:numPr>
          <w:ilvl w:val="0"/>
          <w:numId w:val="43"/>
        </w:numPr>
        <w:ind w:left="709" w:hanging="425"/>
      </w:pPr>
      <w:r w:rsidRPr="003E70FC">
        <w:t xml:space="preserve">Dedicated (Formal) Reserve – including Crown land formally reserved for environmental protection and where timber harvesting is prohibited (such as national parks, state parks, forest parks, nature conservation reserve and other conservation reserves) </w:t>
      </w:r>
    </w:p>
    <w:p w:rsidR="001743D6" w:rsidRPr="003E70FC" w:rsidRDefault="001743D6" w:rsidP="00001355">
      <w:pPr>
        <w:pStyle w:val="ListParagraph"/>
        <w:numPr>
          <w:ilvl w:val="0"/>
          <w:numId w:val="43"/>
        </w:numPr>
        <w:ind w:left="709" w:hanging="425"/>
      </w:pPr>
      <w:r w:rsidRPr="003E70FC">
        <w:t>Informal Reserve – including public land protected to achieve conservation values while excluding timber harvesting, or protected under an approved management plan; this is mostly defined by areas of SPZ within State forest</w:t>
      </w:r>
    </w:p>
    <w:p w:rsidR="001743D6" w:rsidRPr="003E70FC" w:rsidRDefault="001743D6" w:rsidP="00001355">
      <w:pPr>
        <w:pStyle w:val="ListParagraph"/>
        <w:numPr>
          <w:ilvl w:val="0"/>
          <w:numId w:val="43"/>
        </w:numPr>
        <w:ind w:left="709" w:hanging="425"/>
      </w:pPr>
      <w:r w:rsidRPr="003E70FC">
        <w:t xml:space="preserve">Values Protected by Prescription – in Victoria, those prescriptions defined under the </w:t>
      </w:r>
      <w:r w:rsidRPr="003E70FC">
        <w:rPr>
          <w:i/>
        </w:rPr>
        <w:t>Code of practice for timber production 2014</w:t>
      </w:r>
      <w:r w:rsidRPr="003E70FC">
        <w:t>, related to areas of steep slopes, or very rare values, values with fragmented distributions, or values naturally occurring in linear form such as riparian vegetation</w:t>
      </w:r>
    </w:p>
    <w:p w:rsidR="001743D6" w:rsidRPr="003E70FC" w:rsidRDefault="001743D6" w:rsidP="00001355">
      <w:pPr>
        <w:pStyle w:val="ListParagraph"/>
        <w:numPr>
          <w:ilvl w:val="0"/>
          <w:numId w:val="43"/>
        </w:numPr>
        <w:spacing w:after="0"/>
        <w:ind w:left="709" w:hanging="425"/>
      </w:pPr>
      <w:r w:rsidRPr="003E70FC">
        <w:t xml:space="preserve">Private Land – defined by a registered on-title security agreement for third party offset sites as either: </w:t>
      </w:r>
    </w:p>
    <w:p w:rsidR="001743D6" w:rsidRPr="003E70FC" w:rsidRDefault="001743D6" w:rsidP="003E70FC">
      <w:pPr>
        <w:pStyle w:val="ListParagraph"/>
        <w:numPr>
          <w:ilvl w:val="0"/>
          <w:numId w:val="44"/>
        </w:numPr>
      </w:pPr>
      <w:r w:rsidRPr="003E70FC">
        <w:t xml:space="preserve">a Trust for Nature offset covenant under the </w:t>
      </w:r>
      <w:r w:rsidRPr="003E70FC">
        <w:rPr>
          <w:i/>
        </w:rPr>
        <w:t xml:space="preserve">Conservation Trust Act 1972 </w:t>
      </w:r>
      <w:r w:rsidRPr="003E70FC">
        <w:t xml:space="preserve">(Vic.) </w:t>
      </w:r>
    </w:p>
    <w:p w:rsidR="001743D6" w:rsidRPr="003E70FC" w:rsidRDefault="001743D6" w:rsidP="003E70FC">
      <w:pPr>
        <w:pStyle w:val="ListParagraph"/>
        <w:numPr>
          <w:ilvl w:val="0"/>
          <w:numId w:val="44"/>
        </w:numPr>
      </w:pPr>
      <w:r w:rsidRPr="003E70FC">
        <w:t xml:space="preserve">a section 69 agreement under the </w:t>
      </w:r>
      <w:r w:rsidRPr="003E70FC">
        <w:rPr>
          <w:i/>
        </w:rPr>
        <w:t>Conservation, Forests and Lands Act 1970</w:t>
      </w:r>
      <w:r w:rsidRPr="003E70FC">
        <w:t xml:space="preserve"> (Vic.) </w:t>
      </w:r>
    </w:p>
    <w:p w:rsidR="001743D6" w:rsidRPr="003E70FC" w:rsidRDefault="001743D6" w:rsidP="003E70FC">
      <w:pPr>
        <w:pStyle w:val="ListParagraph"/>
        <w:numPr>
          <w:ilvl w:val="0"/>
          <w:numId w:val="44"/>
        </w:numPr>
      </w:pPr>
      <w:r w:rsidRPr="003E70FC">
        <w:t>alternatively, as a Land Management Co-operative Agreement (DELWP).</w:t>
      </w:r>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Extent of protected areas in RFA regions</w:t>
      </w:r>
    </w:p>
    <w:p w:rsidR="001743D6" w:rsidRPr="001743D6" w:rsidRDefault="001743D6" w:rsidP="001743D6">
      <w:pPr>
        <w:jc w:val="both"/>
        <w:rPr>
          <w:rFonts w:ascii="Segoe UI" w:hAnsi="Segoe UI" w:cs="Segoe UI"/>
        </w:rPr>
      </w:pPr>
      <w:r w:rsidRPr="001743D6">
        <w:rPr>
          <w:rFonts w:ascii="Segoe UI" w:hAnsi="Segoe UI" w:cs="Segoe UI"/>
        </w:rPr>
        <w:t xml:space="preserve">The area and proportion of forest ecosystems reserved through formal and informal processes, and the changes to that area over time, reflect policy interventions that drive strategies to conserve biodiversity. </w:t>
      </w:r>
    </w:p>
    <w:p w:rsidR="001743D6" w:rsidRPr="001743D6" w:rsidRDefault="001743D6" w:rsidP="001743D6">
      <w:pPr>
        <w:jc w:val="both"/>
        <w:rPr>
          <w:rFonts w:ascii="Segoe UI" w:hAnsi="Segoe UI" w:cs="Segoe UI"/>
        </w:rPr>
      </w:pPr>
      <w:r w:rsidRPr="001743D6">
        <w:rPr>
          <w:rFonts w:ascii="Segoe UI" w:hAnsi="Segoe UI" w:cs="Segoe UI"/>
        </w:rPr>
        <w:t xml:space="preserve">Additions to the CAR reserve system arise from two main processes: the first being the transfer of State forest to the reserve system (most significantly the Otway National Park in 2004), which forms part of the formal reserve. The second process comes from prescriptions from the Code of Practice, which have seen significant increases in the Central Highlands, which are aligned with efforts to preserve habitat of the critically endangered Leadbeater’s Possum. </w:t>
      </w:r>
    </w:p>
    <w:p w:rsidR="001743D6" w:rsidRPr="001743D6" w:rsidRDefault="001743D6" w:rsidP="001743D6">
      <w:pPr>
        <w:jc w:val="both"/>
        <w:rPr>
          <w:rFonts w:ascii="Segoe UI" w:hAnsi="Segoe UI" w:cs="Segoe UI"/>
        </w:rPr>
      </w:pPr>
      <w:r w:rsidRPr="001743D6">
        <w:rPr>
          <w:rFonts w:ascii="Segoe UI" w:hAnsi="Segoe UI" w:cs="Segoe UI"/>
        </w:rPr>
        <w:t>The CRA process reported a total of 5.3 million hectares of public land area within the boundaries of the five RFA regions. This included 2.96 million hectares in State forest and 1.93 million hectares in parks and reserves. A further 2.9 million hectares was private land, and 47 per cent of the area within the RFA areas was forested (</w:t>
      </w:r>
      <w:r w:rsidRPr="001743D6">
        <w:rPr>
          <w:rFonts w:ascii="Segoe UI" w:hAnsi="Segoe UI" w:cs="Segoe UI"/>
        </w:rPr>
        <w:fldChar w:fldCharType="begin"/>
      </w:r>
      <w:r w:rsidRPr="001743D6">
        <w:rPr>
          <w:rFonts w:ascii="Segoe UI" w:hAnsi="Segoe UI" w:cs="Segoe UI"/>
        </w:rPr>
        <w:instrText xml:space="preserve"> REF _Ref18924213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Table </w:t>
      </w:r>
      <w:r w:rsidRPr="001743D6">
        <w:rPr>
          <w:rFonts w:ascii="Segoe UI" w:hAnsi="Segoe UI" w:cs="Segoe UI"/>
          <w:noProof/>
        </w:rPr>
        <w:t>24</w:t>
      </w:r>
      <w:r w:rsidRPr="001743D6">
        <w:rPr>
          <w:rFonts w:ascii="Segoe UI" w:hAnsi="Segoe UI" w:cs="Segoe UI"/>
        </w:rPr>
        <w:fldChar w:fldCharType="end"/>
      </w:r>
      <w:r w:rsidRPr="001743D6">
        <w:rPr>
          <w:rFonts w:ascii="Segoe UI" w:hAnsi="Segoe UI" w:cs="Segoe UI"/>
        </w:rPr>
        <w:t>). The total CAR reserve system defined when the RFAs were signed totalled 2.63 million hectares.</w:t>
      </w:r>
    </w:p>
    <w:p w:rsidR="001743D6" w:rsidRPr="001743D6" w:rsidRDefault="001743D6" w:rsidP="001743D6">
      <w:pPr>
        <w:jc w:val="both"/>
        <w:rPr>
          <w:rFonts w:ascii="Segoe UI" w:hAnsi="Segoe UI" w:cs="Segoe UI"/>
        </w:rPr>
      </w:pPr>
      <w:r w:rsidRPr="001743D6">
        <w:rPr>
          <w:rFonts w:ascii="Segoe UI" w:hAnsi="Segoe UI" w:cs="Segoe UI"/>
        </w:rPr>
        <w:t>By 2018, dedicated reserves and SPZs had increased to over 3.3 million hectares. This accounts for the application of an additional 330 thousand hectares of exclusions under the Code, and an increased area with SPZs. This constitutes an overall increase of 730 thousand hectares added to CAR reserves during the period 1999–2018 (</w:t>
      </w:r>
      <w:r w:rsidRPr="001743D6">
        <w:rPr>
          <w:rFonts w:ascii="Segoe UI" w:hAnsi="Segoe UI" w:cs="Segoe UI"/>
        </w:rPr>
        <w:fldChar w:fldCharType="begin"/>
      </w:r>
      <w:r w:rsidRPr="001743D6">
        <w:rPr>
          <w:rFonts w:ascii="Segoe UI" w:hAnsi="Segoe UI" w:cs="Segoe UI"/>
        </w:rPr>
        <w:instrText xml:space="preserve"> REF _Ref14190737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Figure </w:t>
      </w:r>
      <w:r w:rsidRPr="001743D6">
        <w:rPr>
          <w:rFonts w:ascii="Segoe UI" w:hAnsi="Segoe UI" w:cs="Segoe UI"/>
          <w:noProof/>
        </w:rPr>
        <w:t>6</w:t>
      </w:r>
      <w:r w:rsidRPr="001743D6">
        <w:rPr>
          <w:rFonts w:ascii="Segoe UI" w:hAnsi="Segoe UI" w:cs="Segoe UI"/>
        </w:rPr>
        <w:fldChar w:fldCharType="end"/>
      </w:r>
      <w:r w:rsidRPr="001743D6">
        <w:rPr>
          <w:rFonts w:ascii="Segoe UI" w:hAnsi="Segoe UI" w:cs="Segoe UI"/>
        </w:rPr>
        <w:t>).</w:t>
      </w:r>
    </w:p>
    <w:p w:rsidR="001743D6" w:rsidRPr="001743D6" w:rsidRDefault="001743D6" w:rsidP="001743D6">
      <w:pPr>
        <w:rPr>
          <w:rFonts w:ascii="Segoe UI" w:hAnsi="Segoe UI" w:cs="Segoe UI"/>
        </w:rPr>
      </w:pPr>
      <w:bookmarkStart w:id="15" w:name="_Ref11341821"/>
      <w:r w:rsidRPr="001743D6">
        <w:rPr>
          <w:rFonts w:ascii="Segoe UI" w:hAnsi="Segoe UI" w:cs="Segoe UI"/>
          <w:noProof/>
          <w:lang w:eastAsia="en-AU"/>
        </w:rPr>
        <w:drawing>
          <wp:inline distT="0" distB="0" distL="0" distR="0" wp14:anchorId="6BFE473B" wp14:editId="14FFA663">
            <wp:extent cx="5563586" cy="3914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565213" cy="3915920"/>
                    </a:xfrm>
                    <a:prstGeom prst="rect">
                      <a:avLst/>
                    </a:prstGeom>
                    <a:noFill/>
                    <a:ln>
                      <a:noFill/>
                    </a:ln>
                  </pic:spPr>
                </pic:pic>
              </a:graphicData>
            </a:graphic>
          </wp:inline>
        </w:drawing>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16" w:name="_Ref14190737"/>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6</w:t>
      </w:r>
      <w:r w:rsidRPr="001743D6">
        <w:rPr>
          <w:rFonts w:ascii="Segoe UI Semibold" w:eastAsia="Times New Roman" w:hAnsi="Segoe UI Semibold" w:cs="Times New Roman"/>
          <w:noProof/>
          <w:color w:val="016295"/>
        </w:rPr>
        <w:fldChar w:fldCharType="end"/>
      </w:r>
      <w:bookmarkEnd w:id="16"/>
      <w:r w:rsidRPr="001743D6">
        <w:rPr>
          <w:rFonts w:ascii="Segoe UI Semibold" w:eastAsia="Times New Roman" w:hAnsi="Segoe UI Semibold" w:cs="Times New Roman"/>
          <w:color w:val="016295"/>
        </w:rPr>
        <w:t xml:space="preserve">: CAR reserves in Victorian RFA areas </w:t>
      </w:r>
    </w:p>
    <w:p w:rsidR="001743D6" w:rsidRPr="001743D6" w:rsidRDefault="001743D6" w:rsidP="001743D6">
      <w:pPr>
        <w:jc w:val="both"/>
        <w:rPr>
          <w:rFonts w:ascii="Segoe UI Semibold" w:eastAsia="Times New Roman" w:hAnsi="Segoe UI Semibold" w:cs="Times New Roman"/>
          <w:color w:val="016295"/>
        </w:rPr>
      </w:pPr>
      <w:r w:rsidRPr="001743D6">
        <w:rPr>
          <w:rFonts w:ascii="Segoe UI" w:hAnsi="Segoe UI" w:cs="Segoe UI"/>
        </w:rPr>
        <w:br w:type="page"/>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17" w:name="_Ref18924213"/>
      <w:bookmarkStart w:id="18" w:name="_Toc25660808"/>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24</w:t>
      </w:r>
      <w:r w:rsidRPr="001743D6">
        <w:rPr>
          <w:rFonts w:ascii="Segoe UI Semibold" w:eastAsia="Times New Roman" w:hAnsi="Segoe UI Semibold" w:cs="Times New Roman"/>
          <w:noProof/>
          <w:color w:val="016295"/>
        </w:rPr>
        <w:fldChar w:fldCharType="end"/>
      </w:r>
      <w:bookmarkEnd w:id="15"/>
      <w:bookmarkEnd w:id="17"/>
      <w:r w:rsidRPr="001743D6">
        <w:rPr>
          <w:rFonts w:ascii="Segoe UI Semibold" w:eastAsia="Times New Roman" w:hAnsi="Segoe UI Semibold" w:cs="Times New Roman"/>
          <w:color w:val="016295"/>
        </w:rPr>
        <w:t>: Tenure and protected area categories as represented in the CRA documents</w:t>
      </w:r>
      <w:bookmarkEnd w:id="18"/>
      <w:r w:rsidRPr="001743D6">
        <w:rPr>
          <w:rFonts w:ascii="Segoe UI Semibold" w:eastAsia="Times New Roman" w:hAnsi="Segoe UI Semibold" w:cs="Times New Roman"/>
          <w:color w:val="016295"/>
        </w:rPr>
        <w:t xml:space="preserve"> (1996 – 1999)</w:t>
      </w:r>
    </w:p>
    <w:tbl>
      <w:tblPr>
        <w:tblStyle w:val="xTable1"/>
        <w:tblW w:w="9297" w:type="dxa"/>
        <w:tblLayout w:type="fixed"/>
        <w:tblLook w:val="06E0" w:firstRow="1" w:lastRow="1" w:firstColumn="1" w:lastColumn="0" w:noHBand="1" w:noVBand="1"/>
      </w:tblPr>
      <w:tblGrid>
        <w:gridCol w:w="2778"/>
        <w:gridCol w:w="1077"/>
        <w:gridCol w:w="1077"/>
        <w:gridCol w:w="1077"/>
        <w:gridCol w:w="1077"/>
        <w:gridCol w:w="1077"/>
        <w:gridCol w:w="1134"/>
      </w:tblGrid>
      <w:tr w:rsidR="001743D6" w:rsidRPr="001743D6" w:rsidTr="00D06F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78" w:type="dxa"/>
          </w:tcPr>
          <w:p w:rsidR="001743D6" w:rsidRPr="001743D6" w:rsidRDefault="001743D6" w:rsidP="001743D6">
            <w:pPr>
              <w:rPr>
                <w:rFonts w:ascii="Segoe UI" w:hAnsi="Segoe UI" w:cs="Segoe UI"/>
              </w:rPr>
            </w:pPr>
            <w:r w:rsidRPr="001743D6">
              <w:rPr>
                <w:rFonts w:ascii="Segoe UI" w:hAnsi="Segoe UI" w:cs="Segoe UI"/>
              </w:rPr>
              <w:t xml:space="preserve">Original RFAs </w:t>
            </w:r>
          </w:p>
          <w:p w:rsidR="001743D6" w:rsidRPr="001743D6" w:rsidRDefault="001743D6" w:rsidP="001743D6">
            <w:pPr>
              <w:rPr>
                <w:rFonts w:ascii="Segoe UI" w:hAnsi="Segoe UI" w:cs="Segoe UI"/>
              </w:rPr>
            </w:pPr>
          </w:p>
        </w:tc>
        <w:tc>
          <w:tcPr>
            <w:tcW w:w="1077" w:type="dxa"/>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Central Highlands</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077" w:type="dxa"/>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East Gippsland</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077" w:type="dxa"/>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Gippsland</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077" w:type="dxa"/>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North East</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077" w:type="dxa"/>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West</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134" w:type="dxa"/>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Total</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r>
      <w:tr w:rsidR="001743D6" w:rsidRPr="001743D6" w:rsidTr="00D06FDE">
        <w:tc>
          <w:tcPr>
            <w:cnfStyle w:val="001000000000" w:firstRow="0" w:lastRow="0" w:firstColumn="1" w:lastColumn="0" w:oddVBand="0" w:evenVBand="0" w:oddHBand="0" w:evenHBand="0" w:firstRowFirstColumn="0" w:firstRowLastColumn="0" w:lastRowFirstColumn="0" w:lastRowLastColumn="0"/>
            <w:tcW w:w="2778"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 xml:space="preserve">Size of RFA region (ha) </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1,132,000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1,213,000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2,655,000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2,317,000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5,770,000</w:t>
            </w:r>
          </w:p>
        </w:tc>
        <w:tc>
          <w:tcPr>
            <w:tcW w:w="1134"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fldChar w:fldCharType="begin"/>
            </w:r>
            <w:r w:rsidRPr="001743D6">
              <w:rPr>
                <w:rFonts w:ascii="Segoe UI" w:eastAsia="Calibri" w:hAnsi="Segoe UI" w:cs="Calibri"/>
                <w:sz w:val="19"/>
                <w:szCs w:val="19"/>
                <w:lang w:eastAsia="en-AU"/>
              </w:rPr>
              <w:instrText xml:space="preserve"> =SUM(LEFT) </w:instrText>
            </w:r>
            <w:r w:rsidRPr="001743D6">
              <w:rPr>
                <w:rFonts w:ascii="Segoe UI" w:eastAsia="Calibri" w:hAnsi="Segoe UI" w:cs="Calibri"/>
                <w:sz w:val="19"/>
                <w:szCs w:val="19"/>
                <w:lang w:eastAsia="en-AU"/>
              </w:rPr>
              <w:fldChar w:fldCharType="separate"/>
            </w:r>
            <w:r w:rsidRPr="001743D6">
              <w:rPr>
                <w:rFonts w:ascii="Segoe UI" w:eastAsia="Calibri" w:hAnsi="Segoe UI" w:cs="Calibri"/>
                <w:sz w:val="19"/>
                <w:szCs w:val="19"/>
                <w:lang w:eastAsia="en-AU"/>
              </w:rPr>
              <w:t>13,087,000</w:t>
            </w:r>
            <w:r w:rsidRPr="001743D6">
              <w:rPr>
                <w:rFonts w:ascii="Segoe UI" w:eastAsia="Calibri" w:hAnsi="Segoe UI" w:cs="Calibri"/>
                <w:sz w:val="19"/>
                <w:szCs w:val="19"/>
                <w:lang w:eastAsia="en-AU"/>
              </w:rPr>
              <w:fldChar w:fldCharType="end"/>
            </w:r>
          </w:p>
        </w:tc>
      </w:tr>
      <w:tr w:rsidR="001743D6" w:rsidRPr="001743D6" w:rsidTr="00D06FDE">
        <w:tc>
          <w:tcPr>
            <w:cnfStyle w:val="001000000000" w:firstRow="0" w:lastRow="0" w:firstColumn="1" w:lastColumn="0" w:oddVBand="0" w:evenVBand="0" w:oddHBand="0" w:evenHBand="0" w:firstRowFirstColumn="0" w:firstRowLastColumn="0" w:lastRowFirstColumn="0" w:lastRowLastColumn="0"/>
            <w:tcW w:w="2778"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Private land (ha)</w:t>
            </w:r>
            <w:r w:rsidRPr="001743D6">
              <w:rPr>
                <w:rFonts w:ascii="Segoe UI" w:eastAsia="Calibri" w:hAnsi="Segoe UI" w:cs="Calibri"/>
                <w:position w:val="8"/>
                <w:szCs w:val="19"/>
                <w:lang w:eastAsia="en-AU"/>
              </w:rPr>
              <w:t xml:space="preserve"> </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502,800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156,000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1,200,000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1,057,300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4,800,000</w:t>
            </w:r>
          </w:p>
        </w:tc>
        <w:tc>
          <w:tcPr>
            <w:tcW w:w="1134"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7,716,000</w:t>
            </w:r>
          </w:p>
        </w:tc>
      </w:tr>
      <w:tr w:rsidR="001743D6" w:rsidRPr="001743D6" w:rsidTr="00D06FDE">
        <w:tc>
          <w:tcPr>
            <w:cnfStyle w:val="001000000000" w:firstRow="0" w:lastRow="0" w:firstColumn="1" w:lastColumn="0" w:oddVBand="0" w:evenVBand="0" w:oddHBand="0" w:evenHBand="0" w:firstRowFirstColumn="0" w:firstRowLastColumn="0" w:lastRowFirstColumn="0" w:lastRowLastColumn="0"/>
            <w:tcW w:w="2778"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 xml:space="preserve">Public land (ha) </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600,000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1,044,000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1,400,000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1,260,700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1,000,000</w:t>
            </w:r>
          </w:p>
        </w:tc>
        <w:tc>
          <w:tcPr>
            <w:tcW w:w="1134"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5,305,000</w:t>
            </w:r>
          </w:p>
        </w:tc>
      </w:tr>
      <w:tr w:rsidR="001743D6" w:rsidRPr="001743D6" w:rsidTr="00D06FDE">
        <w:tc>
          <w:tcPr>
            <w:cnfStyle w:val="001000000000" w:firstRow="0" w:lastRow="0" w:firstColumn="1" w:lastColumn="0" w:oddVBand="0" w:evenVBand="0" w:oddHBand="0" w:evenHBand="0" w:firstRowFirstColumn="0" w:firstRowLastColumn="0" w:lastRowFirstColumn="0" w:lastRowLastColumn="0"/>
            <w:tcW w:w="2778"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 xml:space="preserve">State forest (ha) </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389,800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637,000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806,000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718,700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411,000</w:t>
            </w:r>
          </w:p>
        </w:tc>
        <w:tc>
          <w:tcPr>
            <w:tcW w:w="1134"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2,962,000</w:t>
            </w:r>
          </w:p>
        </w:tc>
      </w:tr>
      <w:tr w:rsidR="001743D6" w:rsidRPr="001743D6" w:rsidTr="00D06FDE">
        <w:tc>
          <w:tcPr>
            <w:cnfStyle w:val="001000000000" w:firstRow="0" w:lastRow="0" w:firstColumn="1" w:lastColumn="0" w:oddVBand="0" w:evenVBand="0" w:oddHBand="0" w:evenHBand="0" w:firstRowFirstColumn="0" w:firstRowLastColumn="0" w:lastRowFirstColumn="0" w:lastRowLastColumn="0"/>
            <w:tcW w:w="2778"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Forest cover (ha)</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740,000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1,120,000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1,630,000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1,340,000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1,370,000</w:t>
            </w:r>
          </w:p>
        </w:tc>
        <w:tc>
          <w:tcPr>
            <w:tcW w:w="1134"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6,180,000</w:t>
            </w:r>
          </w:p>
        </w:tc>
      </w:tr>
      <w:tr w:rsidR="001743D6" w:rsidRPr="001743D6" w:rsidTr="00D06FDE">
        <w:tc>
          <w:tcPr>
            <w:cnfStyle w:val="001000000000" w:firstRow="0" w:lastRow="0" w:firstColumn="1" w:lastColumn="0" w:oddVBand="0" w:evenVBand="0" w:oddHBand="0" w:evenHBand="0" w:firstRowFirstColumn="0" w:firstRowLastColumn="0" w:lastRowFirstColumn="0" w:lastRowLastColumn="0"/>
            <w:tcW w:w="2778"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 xml:space="preserve">Conservation reserves (NP and flora &amp; fauna reserves) (ha) </w:t>
            </w:r>
            <w:r w:rsidRPr="001743D6">
              <w:rPr>
                <w:rFonts w:ascii="Segoe UI" w:eastAsia="Calibri" w:hAnsi="Segoe UI" w:cs="Calibri"/>
                <w:i/>
                <w:szCs w:val="19"/>
                <w:lang w:eastAsia="en-AU"/>
              </w:rPr>
              <w:t>(a)</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179,700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409,500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514,700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392,000</w:t>
            </w:r>
          </w:p>
        </w:tc>
        <w:tc>
          <w:tcPr>
            <w:tcW w:w="1077"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437,000</w:t>
            </w:r>
          </w:p>
        </w:tc>
        <w:tc>
          <w:tcPr>
            <w:tcW w:w="1134" w:type="dxa"/>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1,933,000</w:t>
            </w:r>
          </w:p>
        </w:tc>
      </w:tr>
      <w:tr w:rsidR="001743D6" w:rsidRPr="001743D6" w:rsidTr="00D06FDE">
        <w:tc>
          <w:tcPr>
            <w:cnfStyle w:val="001000000000" w:firstRow="0" w:lastRow="0" w:firstColumn="1" w:lastColumn="0" w:oddVBand="0" w:evenVBand="0" w:oddHBand="0" w:evenHBand="0" w:firstRowFirstColumn="0" w:firstRowLastColumn="0" w:lastRowFirstColumn="0" w:lastRowLastColumn="0"/>
            <w:tcW w:w="2778" w:type="dxa"/>
            <w:vAlign w:val="bottom"/>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 xml:space="preserve">SPZ </w:t>
            </w:r>
            <w:r w:rsidRPr="001743D6">
              <w:rPr>
                <w:rFonts w:ascii="Segoe UI" w:eastAsia="Calibri" w:hAnsi="Segoe UI" w:cs="Calibri"/>
                <w:i/>
                <w:szCs w:val="19"/>
                <w:lang w:eastAsia="en-AU"/>
              </w:rPr>
              <w:t>(b)</w:t>
            </w:r>
          </w:p>
        </w:tc>
        <w:tc>
          <w:tcPr>
            <w:tcW w:w="1077" w:type="dxa"/>
            <w:vAlign w:val="bottom"/>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109,200</w:t>
            </w:r>
          </w:p>
        </w:tc>
        <w:tc>
          <w:tcPr>
            <w:tcW w:w="1077" w:type="dxa"/>
            <w:vAlign w:val="bottom"/>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164,300</w:t>
            </w:r>
          </w:p>
        </w:tc>
        <w:tc>
          <w:tcPr>
            <w:tcW w:w="1077" w:type="dxa"/>
            <w:vAlign w:val="bottom"/>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248,000</w:t>
            </w:r>
          </w:p>
        </w:tc>
        <w:tc>
          <w:tcPr>
            <w:tcW w:w="1077" w:type="dxa"/>
            <w:vAlign w:val="bottom"/>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7,590</w:t>
            </w:r>
            <w:r w:rsidRPr="001743D6">
              <w:rPr>
                <w:rFonts w:ascii="Segoe UI" w:eastAsia="Calibri" w:hAnsi="Segoe UI" w:cs="Calibri"/>
                <w:position w:val="8"/>
                <w:sz w:val="19"/>
                <w:szCs w:val="19"/>
                <w:lang w:eastAsia="en-AU"/>
              </w:rPr>
              <w:t>*</w:t>
            </w:r>
          </w:p>
        </w:tc>
        <w:tc>
          <w:tcPr>
            <w:tcW w:w="1077" w:type="dxa"/>
            <w:vAlign w:val="bottom"/>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176,000</w:t>
            </w:r>
          </w:p>
        </w:tc>
        <w:tc>
          <w:tcPr>
            <w:tcW w:w="1134" w:type="dxa"/>
            <w:vAlign w:val="bottom"/>
          </w:tcPr>
          <w:p w:rsidR="001743D6" w:rsidRPr="001743D6" w:rsidRDefault="001743D6" w:rsidP="001743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Segoe UI" w:eastAsia="Calibri" w:hAnsi="Segoe UI" w:cs="Calibri"/>
                <w:sz w:val="19"/>
                <w:szCs w:val="19"/>
                <w:lang w:eastAsia="en-AU"/>
              </w:rPr>
            </w:pPr>
            <w:r w:rsidRPr="001743D6">
              <w:rPr>
                <w:rFonts w:ascii="Segoe UI" w:eastAsia="Calibri" w:hAnsi="Segoe UI" w:cs="Calibri"/>
                <w:sz w:val="19"/>
                <w:szCs w:val="19"/>
                <w:lang w:eastAsia="en-AU"/>
              </w:rPr>
              <w:t>705,000</w:t>
            </w:r>
          </w:p>
        </w:tc>
      </w:tr>
      <w:tr w:rsidR="001743D6" w:rsidRPr="001743D6" w:rsidTr="00D06F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8" w:type="dxa"/>
          </w:tcPr>
          <w:p w:rsidR="001743D6" w:rsidRPr="001743D6" w:rsidRDefault="001743D6" w:rsidP="001743D6">
            <w:pPr>
              <w:rPr>
                <w:rFonts w:ascii="Calibri" w:eastAsia="Calibri" w:hAnsi="Calibri" w:cs="Calibri"/>
                <w:color w:val="000000" w:themeColor="text1"/>
              </w:rPr>
            </w:pPr>
            <w:r w:rsidRPr="001743D6">
              <w:rPr>
                <w:rFonts w:ascii="Segoe UI" w:hAnsi="Segoe UI" w:cs="Segoe UI"/>
              </w:rPr>
              <w:t xml:space="preserve">Total area of forest protected </w:t>
            </w:r>
            <w:r w:rsidRPr="001743D6">
              <w:rPr>
                <w:rFonts w:ascii="Segoe UI" w:hAnsi="Segoe UI" w:cs="Segoe UI"/>
                <w:i/>
              </w:rPr>
              <w:t>(a+ b)</w:t>
            </w:r>
          </w:p>
        </w:tc>
        <w:tc>
          <w:tcPr>
            <w:tcW w:w="1077" w:type="dxa"/>
          </w:tcPr>
          <w:p w:rsidR="001743D6" w:rsidRPr="001743D6" w:rsidRDefault="001743D6" w:rsidP="001743D6">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288,900</w:t>
            </w:r>
          </w:p>
        </w:tc>
        <w:tc>
          <w:tcPr>
            <w:tcW w:w="1077" w:type="dxa"/>
          </w:tcPr>
          <w:p w:rsidR="001743D6" w:rsidRPr="001743D6" w:rsidRDefault="001743D6" w:rsidP="001743D6">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573,800</w:t>
            </w:r>
          </w:p>
        </w:tc>
        <w:tc>
          <w:tcPr>
            <w:tcW w:w="1077" w:type="dxa"/>
          </w:tcPr>
          <w:p w:rsidR="001743D6" w:rsidRPr="001743D6" w:rsidRDefault="001743D6" w:rsidP="001743D6">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762,000</w:t>
            </w:r>
          </w:p>
        </w:tc>
        <w:tc>
          <w:tcPr>
            <w:tcW w:w="1077" w:type="dxa"/>
          </w:tcPr>
          <w:p w:rsidR="001743D6" w:rsidRPr="001743D6" w:rsidRDefault="001743D6" w:rsidP="001743D6">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399,000</w:t>
            </w:r>
          </w:p>
        </w:tc>
        <w:tc>
          <w:tcPr>
            <w:tcW w:w="1077" w:type="dxa"/>
          </w:tcPr>
          <w:p w:rsidR="001743D6" w:rsidRPr="001743D6" w:rsidRDefault="001743D6" w:rsidP="001743D6">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613,000</w:t>
            </w:r>
          </w:p>
        </w:tc>
        <w:tc>
          <w:tcPr>
            <w:tcW w:w="1134" w:type="dxa"/>
          </w:tcPr>
          <w:p w:rsidR="001743D6" w:rsidRPr="001743D6" w:rsidRDefault="001743D6" w:rsidP="001743D6">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2,630,000</w:t>
            </w:r>
          </w:p>
        </w:tc>
      </w:tr>
    </w:tbl>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a</w:t>
      </w:r>
      <w:r w:rsidRPr="001743D6">
        <w:rPr>
          <w:rFonts w:ascii="Segoe UI" w:eastAsia="STZhongsong" w:hAnsi="Segoe UI" w:cs="Segoe UI"/>
          <w:bCs/>
          <w:sz w:val="18"/>
          <w:szCs w:val="18"/>
          <w:lang w:eastAsia="ko-KR"/>
        </w:rPr>
        <w:tab/>
        <w:t>Formal protected area</w:t>
      </w: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b</w:t>
      </w:r>
      <w:r w:rsidRPr="001743D6">
        <w:rPr>
          <w:rFonts w:ascii="Segoe UI" w:eastAsia="STZhongsong" w:hAnsi="Segoe UI" w:cs="Segoe UI"/>
          <w:bCs/>
          <w:sz w:val="18"/>
          <w:szCs w:val="18"/>
          <w:lang w:eastAsia="ko-KR"/>
        </w:rPr>
        <w:tab/>
        <w:t>Informal protected area</w:t>
      </w:r>
      <w:r w:rsidRPr="001743D6">
        <w:rPr>
          <w:rFonts w:ascii="Segoe UI" w:eastAsia="STZhongsong" w:hAnsi="Segoe UI" w:cs="Segoe UI"/>
          <w:bCs/>
          <w:sz w:val="18"/>
          <w:szCs w:val="18"/>
          <w:lang w:eastAsia="ko-KR"/>
        </w:rPr>
        <w:br/>
        <w:t>* Taken from 2003 assessment as value not found in the CRA documents.</w:t>
      </w:r>
    </w:p>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Source: CRAs from original RFA assessment. Numbers may not add up due to rounding. </w:t>
      </w:r>
    </w:p>
    <w:p w:rsidR="001743D6" w:rsidRPr="001743D6" w:rsidRDefault="001743D6" w:rsidP="001743D6">
      <w:pPr>
        <w:spacing w:after="200" w:line="240" w:lineRule="auto"/>
        <w:rPr>
          <w:rFonts w:ascii="Segoe UI Semibold" w:eastAsia="Times New Roman" w:hAnsi="Segoe UI Semibold" w:cs="Times New Roman"/>
          <w:color w:val="016295"/>
        </w:rPr>
      </w:pPr>
      <w:bookmarkStart w:id="19" w:name="_Toc25660809"/>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25</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Tenure and protected area categories, 2018</w:t>
      </w:r>
      <w:bookmarkEnd w:id="19"/>
    </w:p>
    <w:tbl>
      <w:tblPr>
        <w:tblStyle w:val="xTable1"/>
        <w:tblW w:w="10006" w:type="dxa"/>
        <w:tblLayout w:type="fixed"/>
        <w:tblLook w:val="04E0" w:firstRow="1" w:lastRow="1" w:firstColumn="1" w:lastColumn="0" w:noHBand="0" w:noVBand="1"/>
      </w:tblPr>
      <w:tblGrid>
        <w:gridCol w:w="1651"/>
        <w:gridCol w:w="1240"/>
        <w:gridCol w:w="1104"/>
        <w:gridCol w:w="1104"/>
        <w:gridCol w:w="1104"/>
        <w:gridCol w:w="1104"/>
        <w:gridCol w:w="1104"/>
        <w:gridCol w:w="1321"/>
        <w:gridCol w:w="274"/>
      </w:tblGrid>
      <w:tr w:rsidR="001743D6" w:rsidRPr="001743D6" w:rsidTr="00D06FDE">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701" w:type="dxa"/>
            <w:hideMark/>
          </w:tcPr>
          <w:p w:rsidR="001743D6" w:rsidRPr="001743D6" w:rsidRDefault="001743D6" w:rsidP="001743D6">
            <w:pPr>
              <w:rPr>
                <w:rFonts w:ascii="Segoe UI" w:hAnsi="Segoe UI" w:cs="Segoe UI"/>
              </w:rPr>
            </w:pPr>
            <w:r w:rsidRPr="001743D6">
              <w:rPr>
                <w:rFonts w:ascii="Segoe UI" w:hAnsi="Segoe UI" w:cs="Segoe UI"/>
              </w:rPr>
              <w:t>Area/Tenure</w:t>
            </w:r>
          </w:p>
          <w:p w:rsidR="001743D6" w:rsidRPr="001743D6" w:rsidRDefault="001743D6" w:rsidP="001743D6">
            <w:pPr>
              <w:rPr>
                <w:rFonts w:ascii="Segoe UI" w:hAnsi="Segoe UI" w:cs="Segoe UI"/>
              </w:rPr>
            </w:pPr>
          </w:p>
        </w:tc>
        <w:tc>
          <w:tcPr>
            <w:tcW w:w="1276"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Protected</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Central Highlands</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East Gippsland</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Gippsland</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North East</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West</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c>
          <w:tcPr>
            <w:tcW w:w="1359" w:type="dxa"/>
            <w:gridSpan w:val="2"/>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Total</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(ha)</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Size of RFA</w:t>
            </w:r>
          </w:p>
        </w:tc>
        <w:tc>
          <w:tcPr>
            <w:tcW w:w="1276" w:type="dxa"/>
            <w:hideMark/>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1,132,000</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1,213,000</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2,655,000</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2,317,000</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5,770,000</w:t>
            </w:r>
          </w:p>
        </w:tc>
        <w:tc>
          <w:tcPr>
            <w:tcW w:w="1359" w:type="dxa"/>
            <w:gridSpan w:val="2"/>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fldChar w:fldCharType="begin"/>
            </w:r>
            <w:r w:rsidRPr="001743D6">
              <w:rPr>
                <w:rFonts w:ascii="Segoe UI" w:eastAsia="Calibri" w:hAnsi="Segoe UI" w:cs="Calibri"/>
                <w:szCs w:val="19"/>
                <w:lang w:eastAsia="en-AU"/>
              </w:rPr>
              <w:instrText xml:space="preserve"> =SUM(LEFT) </w:instrText>
            </w:r>
            <w:r w:rsidRPr="001743D6">
              <w:rPr>
                <w:rFonts w:ascii="Segoe UI" w:eastAsia="Calibri" w:hAnsi="Segoe UI" w:cs="Calibri"/>
                <w:szCs w:val="19"/>
                <w:lang w:eastAsia="en-AU"/>
              </w:rPr>
              <w:fldChar w:fldCharType="separate"/>
            </w:r>
            <w:r w:rsidRPr="001743D6">
              <w:rPr>
                <w:rFonts w:ascii="Segoe UI" w:eastAsia="Calibri" w:hAnsi="Segoe UI" w:cs="Calibri"/>
                <w:szCs w:val="19"/>
                <w:lang w:eastAsia="en-AU"/>
              </w:rPr>
              <w:t>13,087,000</w:t>
            </w:r>
            <w:r w:rsidRPr="001743D6">
              <w:rPr>
                <w:rFonts w:ascii="Segoe UI" w:eastAsia="Calibri" w:hAnsi="Segoe UI" w:cs="Calibri"/>
                <w:szCs w:val="19"/>
                <w:lang w:eastAsia="en-AU"/>
              </w:rPr>
              <w:fldChar w:fldCharType="end"/>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Dedicated Reserves (a)</w:t>
            </w:r>
          </w:p>
        </w:tc>
        <w:tc>
          <w:tcPr>
            <w:tcW w:w="1276" w:type="dxa"/>
          </w:tcPr>
          <w:p w:rsidR="001743D6" w:rsidRPr="001743D6" w:rsidRDefault="001743D6" w:rsidP="001743D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YES</w:t>
            </w:r>
          </w:p>
        </w:tc>
        <w:tc>
          <w:tcPr>
            <w:tcW w:w="1134" w:type="dxa"/>
          </w:tcPr>
          <w:p w:rsidR="001743D6" w:rsidRPr="001743D6" w:rsidRDefault="001743D6" w:rsidP="001743D6">
            <w:pPr>
              <w:jc w:val="right"/>
              <w:cnfStyle w:val="000000010000" w:firstRow="0" w:lastRow="0" w:firstColumn="0" w:lastColumn="0" w:oddVBand="0" w:evenVBand="0" w:oddHBand="0" w:evenHBand="1" w:firstRowFirstColumn="0" w:firstRowLastColumn="0" w:lastRowFirstColumn="0" w:lastRowLastColumn="0"/>
              <w:rPr>
                <w:rFonts w:ascii="Calibri" w:hAnsi="Calibri" w:cs="Segoe UI"/>
              </w:rPr>
            </w:pPr>
            <w:r w:rsidRPr="001743D6">
              <w:rPr>
                <w:rFonts w:ascii="Calibri" w:hAnsi="Calibri" w:cs="Calibri"/>
              </w:rPr>
              <w:t>183,556</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465,</w:t>
            </w:r>
            <w:r w:rsidRPr="001743D6">
              <w:rPr>
                <w:rFonts w:ascii="Calibri" w:eastAsia="Calibri" w:hAnsi="Calibri" w:cs="Calibri"/>
                <w:lang w:eastAsia="en-AU"/>
              </w:rPr>
              <w:t>746</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549,743</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434,099</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542,109</w:t>
            </w:r>
          </w:p>
        </w:tc>
        <w:tc>
          <w:tcPr>
            <w:tcW w:w="1359" w:type="dxa"/>
            <w:gridSpan w:val="2"/>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2,</w:t>
            </w:r>
            <w:r w:rsidRPr="001743D6">
              <w:rPr>
                <w:rFonts w:ascii="Calibri" w:eastAsia="Calibri" w:hAnsi="Calibri" w:cs="Calibri"/>
                <w:lang w:eastAsia="en-AU"/>
              </w:rPr>
              <w:t>175,252</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Informal reserves (b)</w:t>
            </w:r>
          </w:p>
        </w:tc>
        <w:tc>
          <w:tcPr>
            <w:tcW w:w="1276" w:type="dxa"/>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YES</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94,727</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109,785</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252,</w:t>
            </w:r>
            <w:r w:rsidRPr="001743D6">
              <w:rPr>
                <w:rFonts w:ascii="Calibri" w:eastAsia="Calibri" w:hAnsi="Calibri" w:cs="Calibri"/>
                <w:lang w:eastAsia="en-AU"/>
              </w:rPr>
              <w:t>276</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172,</w:t>
            </w:r>
            <w:r w:rsidRPr="001743D6">
              <w:rPr>
                <w:rFonts w:ascii="Calibri" w:eastAsia="Calibri" w:hAnsi="Calibri" w:cs="Calibri"/>
                <w:lang w:eastAsia="en-AU"/>
              </w:rPr>
              <w:t>566</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130,</w:t>
            </w:r>
            <w:r w:rsidRPr="001743D6">
              <w:rPr>
                <w:rFonts w:ascii="Calibri" w:eastAsia="Calibri" w:hAnsi="Calibri" w:cs="Calibri"/>
                <w:lang w:eastAsia="en-AU"/>
              </w:rPr>
              <w:t>134</w:t>
            </w:r>
          </w:p>
        </w:tc>
        <w:tc>
          <w:tcPr>
            <w:tcW w:w="1359" w:type="dxa"/>
            <w:gridSpan w:val="2"/>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759,</w:t>
            </w:r>
            <w:r w:rsidRPr="001743D6">
              <w:rPr>
                <w:rFonts w:ascii="Calibri" w:eastAsia="Calibri" w:hAnsi="Calibri" w:cs="Calibri"/>
                <w:lang w:eastAsia="en-AU"/>
              </w:rPr>
              <w:t>487</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Prescription-</w:t>
            </w:r>
            <w:proofErr w:type="spellStart"/>
            <w:r w:rsidRPr="001743D6">
              <w:rPr>
                <w:rFonts w:ascii="Segoe UI" w:eastAsia="Calibri" w:hAnsi="Segoe UI" w:cs="Calibri"/>
                <w:szCs w:val="19"/>
                <w:lang w:eastAsia="en-AU"/>
              </w:rPr>
              <w:t>ModEx</w:t>
            </w:r>
            <w:proofErr w:type="spellEnd"/>
            <w:r w:rsidRPr="001743D6">
              <w:rPr>
                <w:rFonts w:ascii="Segoe UI" w:eastAsia="Calibri" w:hAnsi="Segoe UI" w:cs="Calibri"/>
                <w:szCs w:val="19"/>
                <w:lang w:eastAsia="en-AU"/>
              </w:rPr>
              <w:t>/CFP/RF (c)</w:t>
            </w:r>
          </w:p>
        </w:tc>
        <w:tc>
          <w:tcPr>
            <w:tcW w:w="1276" w:type="dxa"/>
          </w:tcPr>
          <w:p w:rsidR="001743D6" w:rsidRPr="001743D6" w:rsidRDefault="001743D6" w:rsidP="001743D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YES</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84,319</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87,833</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211,080</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233,890</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6,</w:t>
            </w:r>
            <w:r w:rsidRPr="001743D6">
              <w:rPr>
                <w:rFonts w:ascii="Calibri" w:eastAsia="Calibri" w:hAnsi="Calibri" w:cs="Calibri"/>
                <w:lang w:eastAsia="en-AU"/>
              </w:rPr>
              <w:t>514</w:t>
            </w:r>
          </w:p>
        </w:tc>
        <w:tc>
          <w:tcPr>
            <w:tcW w:w="1359" w:type="dxa"/>
            <w:gridSpan w:val="2"/>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623,637</w:t>
            </w:r>
          </w:p>
        </w:tc>
      </w:tr>
      <w:tr w:rsidR="001743D6" w:rsidRPr="001743D6" w:rsidTr="00D06FDE">
        <w:trPr>
          <w:gridAfter w:val="1"/>
          <w:cnfStyle w:val="000000100000" w:firstRow="0" w:lastRow="0" w:firstColumn="0" w:lastColumn="0" w:oddVBand="0" w:evenVBand="0" w:oddHBand="1" w:evenHBand="0" w:firstRowFirstColumn="0" w:firstRowLastColumn="0" w:lastRowFirstColumn="0" w:lastRowLastColumn="0"/>
          <w:wAfter w:w="283" w:type="dxa"/>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Private Land Covenants (d)</w:t>
            </w:r>
          </w:p>
        </w:tc>
        <w:tc>
          <w:tcPr>
            <w:tcW w:w="1276" w:type="dxa"/>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YES</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330</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33</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28,933</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294</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6,380</w:t>
            </w:r>
          </w:p>
        </w:tc>
        <w:tc>
          <w:tcPr>
            <w:tcW w:w="1359"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35,971</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Unprotected – GMZ/SMZ</w:t>
            </w:r>
          </w:p>
        </w:tc>
        <w:tc>
          <w:tcPr>
            <w:tcW w:w="1276" w:type="dxa"/>
          </w:tcPr>
          <w:p w:rsidR="001743D6" w:rsidRPr="001743D6" w:rsidRDefault="001743D6" w:rsidP="001743D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NO</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179,709</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318,217</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325,882</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238,395</w:t>
            </w:r>
          </w:p>
        </w:tc>
        <w:tc>
          <w:tcPr>
            <w:tcW w:w="113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159,809</w:t>
            </w:r>
          </w:p>
        </w:tc>
        <w:tc>
          <w:tcPr>
            <w:tcW w:w="1359" w:type="dxa"/>
            <w:gridSpan w:val="2"/>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szCs w:val="19"/>
                <w:lang w:eastAsia="en-AU"/>
              </w:rPr>
              <w:t>1,</w:t>
            </w:r>
            <w:r w:rsidRPr="001743D6">
              <w:rPr>
                <w:rFonts w:ascii="Calibri" w:eastAsia="Calibri" w:hAnsi="Calibri" w:cs="Calibri"/>
                <w:lang w:eastAsia="en-AU"/>
              </w:rPr>
              <w:t>222,013</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Unprotected – Other Public Land/Private</w:t>
            </w:r>
          </w:p>
        </w:tc>
        <w:tc>
          <w:tcPr>
            <w:tcW w:w="1276" w:type="dxa"/>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NO</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558,976</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173,920</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1,278,592</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1,197,092</w:t>
            </w:r>
          </w:p>
        </w:tc>
        <w:tc>
          <w:tcPr>
            <w:tcW w:w="1134" w:type="dxa"/>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4,915,032</w:t>
            </w:r>
          </w:p>
        </w:tc>
        <w:tc>
          <w:tcPr>
            <w:tcW w:w="1359" w:type="dxa"/>
            <w:gridSpan w:val="2"/>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lang w:eastAsia="en-AU"/>
              </w:rPr>
              <w:t>8,123,611</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b/>
                <w:szCs w:val="19"/>
                <w:lang w:eastAsia="en-AU"/>
              </w:rPr>
            </w:pPr>
            <w:r w:rsidRPr="001743D6">
              <w:rPr>
                <w:rFonts w:ascii="Segoe UI" w:eastAsia="Calibri" w:hAnsi="Segoe UI" w:cs="Calibri"/>
                <w:b/>
                <w:szCs w:val="19"/>
                <w:lang w:eastAsia="en-AU"/>
              </w:rPr>
              <w:t>Total</w:t>
            </w:r>
          </w:p>
        </w:tc>
        <w:tc>
          <w:tcPr>
            <w:tcW w:w="1276" w:type="dxa"/>
          </w:tcPr>
          <w:p w:rsidR="001743D6" w:rsidRPr="001743D6" w:rsidRDefault="001743D6" w:rsidP="001743D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p>
        </w:tc>
        <w:tc>
          <w:tcPr>
            <w:tcW w:w="1134" w:type="dxa"/>
          </w:tcPr>
          <w:p w:rsidR="001743D6" w:rsidRPr="001743D6" w:rsidRDefault="001743D6" w:rsidP="001743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rPr>
            </w:pPr>
            <w:r w:rsidRPr="001743D6">
              <w:rPr>
                <w:rFonts w:ascii="Calibri" w:hAnsi="Calibri" w:cs="Calibri"/>
                <w:b/>
                <w:bCs/>
              </w:rPr>
              <w:t>2,233,617</w:t>
            </w:r>
          </w:p>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p>
        </w:tc>
        <w:tc>
          <w:tcPr>
            <w:tcW w:w="1134" w:type="dxa"/>
            <w:vAlign w:val="center"/>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b/>
                <w:bCs/>
                <w:lang w:eastAsia="en-AU"/>
              </w:rPr>
              <w:t>2,368,534</w:t>
            </w:r>
          </w:p>
        </w:tc>
        <w:tc>
          <w:tcPr>
            <w:tcW w:w="1134" w:type="dxa"/>
            <w:vAlign w:val="center"/>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b/>
                <w:bCs/>
                <w:lang w:eastAsia="en-AU"/>
              </w:rPr>
              <w:t>5,301,506</w:t>
            </w:r>
          </w:p>
        </w:tc>
        <w:tc>
          <w:tcPr>
            <w:tcW w:w="1134" w:type="dxa"/>
            <w:vAlign w:val="center"/>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b/>
                <w:bCs/>
                <w:lang w:eastAsia="en-AU"/>
              </w:rPr>
              <w:t>4,593,336</w:t>
            </w:r>
          </w:p>
        </w:tc>
        <w:tc>
          <w:tcPr>
            <w:tcW w:w="1134" w:type="dxa"/>
            <w:vAlign w:val="center"/>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Calibri" w:eastAsia="Calibri" w:hAnsi="Calibri" w:cs="Calibri"/>
                <w:b/>
                <w:bCs/>
                <w:lang w:eastAsia="en-AU"/>
              </w:rPr>
              <w:t>11,529,978</w:t>
            </w:r>
          </w:p>
        </w:tc>
        <w:tc>
          <w:tcPr>
            <w:tcW w:w="1359" w:type="dxa"/>
            <w:gridSpan w:val="2"/>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26,026,971</w:t>
            </w:r>
          </w:p>
        </w:tc>
      </w:tr>
      <w:tr w:rsidR="001743D6" w:rsidRPr="001743D6" w:rsidTr="00D06FDE">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Total Protected (</w:t>
            </w:r>
            <w:proofErr w:type="spellStart"/>
            <w:r w:rsidRPr="001743D6">
              <w:rPr>
                <w:rFonts w:ascii="Segoe UI" w:eastAsia="Calibri" w:hAnsi="Segoe UI" w:cs="Calibri"/>
                <w:szCs w:val="19"/>
                <w:lang w:eastAsia="en-AU"/>
              </w:rPr>
              <w:t>a+b+c+d</w:t>
            </w:r>
            <w:proofErr w:type="spellEnd"/>
            <w:r w:rsidRPr="001743D6">
              <w:rPr>
                <w:rFonts w:ascii="Segoe UI" w:eastAsia="Calibri" w:hAnsi="Segoe UI" w:cs="Calibri"/>
                <w:szCs w:val="19"/>
                <w:lang w:eastAsia="en-AU"/>
              </w:rPr>
              <w:t>)</w:t>
            </w:r>
          </w:p>
        </w:tc>
        <w:tc>
          <w:tcPr>
            <w:tcW w:w="1276" w:type="dxa"/>
          </w:tcPr>
          <w:p w:rsidR="001743D6" w:rsidRPr="001743D6" w:rsidRDefault="001743D6" w:rsidP="001743D6">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p>
        </w:tc>
        <w:tc>
          <w:tcPr>
            <w:tcW w:w="1134" w:type="dxa"/>
            <w:vAlign w:val="center"/>
          </w:tcPr>
          <w:p w:rsidR="001743D6" w:rsidRPr="001743D6" w:rsidRDefault="001743D6" w:rsidP="001743D6">
            <w:pPr>
              <w:jc w:val="right"/>
              <w:cnfStyle w:val="010000000000" w:firstRow="0" w:lastRow="1" w:firstColumn="0" w:lastColumn="0" w:oddVBand="0" w:evenVBand="0" w:oddHBand="0" w:evenHBand="0" w:firstRowFirstColumn="0" w:firstRowLastColumn="0" w:lastRowFirstColumn="0" w:lastRowLastColumn="0"/>
              <w:rPr>
                <w:rFonts w:ascii="Calibri" w:hAnsi="Calibri" w:cs="Segoe UI"/>
              </w:rPr>
            </w:pPr>
            <w:r w:rsidRPr="001743D6">
              <w:rPr>
                <w:rFonts w:ascii="Calibri" w:hAnsi="Calibri" w:cs="Calibri"/>
                <w:bCs/>
              </w:rPr>
              <w:t>362,932</w:t>
            </w:r>
          </w:p>
        </w:tc>
        <w:tc>
          <w:tcPr>
            <w:tcW w:w="1134" w:type="dxa"/>
            <w:vAlign w:val="center"/>
          </w:tcPr>
          <w:p w:rsidR="001743D6" w:rsidRPr="001743D6" w:rsidRDefault="001743D6" w:rsidP="001743D6">
            <w:pPr>
              <w:jc w:val="right"/>
              <w:cnfStyle w:val="010000000000" w:firstRow="0" w:lastRow="1" w:firstColumn="0" w:lastColumn="0" w:oddVBand="0" w:evenVBand="0" w:oddHBand="0" w:evenHBand="0" w:firstRowFirstColumn="0" w:firstRowLastColumn="0" w:lastRowFirstColumn="0" w:lastRowLastColumn="0"/>
              <w:rPr>
                <w:rFonts w:ascii="Calibri" w:hAnsi="Calibri" w:cs="Segoe UI"/>
              </w:rPr>
            </w:pPr>
            <w:r w:rsidRPr="001743D6">
              <w:rPr>
                <w:rFonts w:ascii="Calibri" w:hAnsi="Calibri" w:cs="Calibri"/>
                <w:bCs/>
              </w:rPr>
              <w:t>663,397</w:t>
            </w:r>
          </w:p>
        </w:tc>
        <w:tc>
          <w:tcPr>
            <w:tcW w:w="1134" w:type="dxa"/>
            <w:vAlign w:val="center"/>
          </w:tcPr>
          <w:p w:rsidR="001743D6" w:rsidRPr="001743D6" w:rsidRDefault="001743D6" w:rsidP="001743D6">
            <w:pPr>
              <w:jc w:val="right"/>
              <w:cnfStyle w:val="010000000000" w:firstRow="0" w:lastRow="1" w:firstColumn="0" w:lastColumn="0" w:oddVBand="0" w:evenVBand="0" w:oddHBand="0" w:evenHBand="0" w:firstRowFirstColumn="0" w:firstRowLastColumn="0" w:lastRowFirstColumn="0" w:lastRowLastColumn="0"/>
              <w:rPr>
                <w:rFonts w:ascii="Calibri" w:hAnsi="Calibri" w:cs="Segoe UI"/>
              </w:rPr>
            </w:pPr>
            <w:r w:rsidRPr="001743D6">
              <w:rPr>
                <w:rFonts w:ascii="Calibri" w:hAnsi="Calibri" w:cs="Calibri"/>
                <w:bCs/>
              </w:rPr>
              <w:t>1,042,032</w:t>
            </w:r>
          </w:p>
        </w:tc>
        <w:tc>
          <w:tcPr>
            <w:tcW w:w="1134" w:type="dxa"/>
            <w:vAlign w:val="center"/>
          </w:tcPr>
          <w:p w:rsidR="001743D6" w:rsidRPr="001743D6" w:rsidRDefault="001743D6" w:rsidP="001743D6">
            <w:pPr>
              <w:jc w:val="right"/>
              <w:cnfStyle w:val="010000000000" w:firstRow="0" w:lastRow="1" w:firstColumn="0" w:lastColumn="0" w:oddVBand="0" w:evenVBand="0" w:oddHBand="0" w:evenHBand="0" w:firstRowFirstColumn="0" w:firstRowLastColumn="0" w:lastRowFirstColumn="0" w:lastRowLastColumn="0"/>
              <w:rPr>
                <w:rFonts w:ascii="Calibri" w:hAnsi="Calibri" w:cs="Segoe UI"/>
              </w:rPr>
            </w:pPr>
            <w:r w:rsidRPr="001743D6">
              <w:rPr>
                <w:rFonts w:ascii="Calibri" w:hAnsi="Calibri" w:cs="Calibri"/>
                <w:bCs/>
              </w:rPr>
              <w:t>840,849</w:t>
            </w:r>
          </w:p>
        </w:tc>
        <w:tc>
          <w:tcPr>
            <w:tcW w:w="1134" w:type="dxa"/>
            <w:vAlign w:val="center"/>
          </w:tcPr>
          <w:p w:rsidR="001743D6" w:rsidRPr="001743D6" w:rsidRDefault="001743D6" w:rsidP="001743D6">
            <w:pPr>
              <w:jc w:val="right"/>
              <w:cnfStyle w:val="010000000000" w:firstRow="0" w:lastRow="1" w:firstColumn="0" w:lastColumn="0" w:oddVBand="0" w:evenVBand="0" w:oddHBand="0" w:evenHBand="0" w:firstRowFirstColumn="0" w:firstRowLastColumn="0" w:lastRowFirstColumn="0" w:lastRowLastColumn="0"/>
              <w:rPr>
                <w:rFonts w:ascii="Calibri" w:hAnsi="Calibri" w:cs="Segoe UI"/>
              </w:rPr>
            </w:pPr>
            <w:r w:rsidRPr="001743D6">
              <w:rPr>
                <w:rFonts w:ascii="Calibri" w:hAnsi="Calibri" w:cs="Calibri"/>
                <w:bCs/>
              </w:rPr>
              <w:t>685,137</w:t>
            </w:r>
          </w:p>
        </w:tc>
        <w:tc>
          <w:tcPr>
            <w:tcW w:w="1359" w:type="dxa"/>
            <w:gridSpan w:val="2"/>
            <w:vAlign w:val="center"/>
          </w:tcPr>
          <w:p w:rsidR="001743D6" w:rsidRPr="001743D6" w:rsidRDefault="001743D6" w:rsidP="001743D6">
            <w:pPr>
              <w:jc w:val="right"/>
              <w:cnfStyle w:val="010000000000" w:firstRow="0" w:lastRow="1" w:firstColumn="0" w:lastColumn="0" w:oddVBand="0" w:evenVBand="0" w:oddHBand="0" w:evenHBand="0" w:firstRowFirstColumn="0" w:firstRowLastColumn="0" w:lastRowFirstColumn="0" w:lastRowLastColumn="0"/>
              <w:rPr>
                <w:rFonts w:ascii="Calibri" w:hAnsi="Calibri" w:cs="Segoe UI"/>
              </w:rPr>
            </w:pPr>
            <w:r w:rsidRPr="001743D6">
              <w:rPr>
                <w:rFonts w:ascii="Calibri" w:hAnsi="Calibri" w:cs="Segoe UI"/>
              </w:rPr>
              <w:t>3,</w:t>
            </w:r>
            <w:r w:rsidRPr="001743D6">
              <w:rPr>
                <w:rFonts w:ascii="Calibri" w:hAnsi="Calibri" w:cs="Calibri"/>
                <w:bCs/>
              </w:rPr>
              <w:t>594,347</w:t>
            </w:r>
          </w:p>
        </w:tc>
      </w:tr>
    </w:tbl>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Source: Data derived from DELWP corporate spatial layers PLM25, FMZ100 and RFA25. </w:t>
      </w:r>
      <w:bookmarkStart w:id="20" w:name="_Toc532202429"/>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International Union for Conservation of Nature protected areas</w:t>
      </w:r>
      <w:bookmarkEnd w:id="20"/>
    </w:p>
    <w:p w:rsidR="001743D6" w:rsidRPr="001743D6" w:rsidRDefault="001743D6" w:rsidP="001743D6">
      <w:pPr>
        <w:jc w:val="both"/>
        <w:rPr>
          <w:rFonts w:ascii="Segoe UI" w:hAnsi="Segoe UI" w:cs="Segoe UI"/>
        </w:rPr>
      </w:pPr>
      <w:r w:rsidRPr="001743D6">
        <w:rPr>
          <w:rFonts w:ascii="Segoe UI" w:hAnsi="Segoe UI" w:cs="Segoe UI"/>
        </w:rPr>
        <w:t>The IUCN is the global authority on the status of the natural world. IUCN defines a protected area as ‘a clearly defined geographical space, recognised, dedicated and managed, through legal or other effective means, to achieve the long-term conservation of nature with associated ecosystem services and cultural values’ (IUCN 2019b).</w:t>
      </w:r>
    </w:p>
    <w:p w:rsidR="001743D6" w:rsidRPr="001743D6" w:rsidRDefault="001743D6" w:rsidP="001743D6">
      <w:pPr>
        <w:jc w:val="both"/>
        <w:rPr>
          <w:rFonts w:ascii="Segoe UI" w:hAnsi="Segoe UI" w:cs="Segoe UI"/>
        </w:rPr>
      </w:pPr>
      <w:r w:rsidRPr="001743D6">
        <w:rPr>
          <w:rFonts w:ascii="Segoe UI" w:hAnsi="Segoe UI" w:cs="Segoe UI"/>
        </w:rPr>
        <w:t>All Victorian formal reserves are assigned an IUCN protected area category based on protection status and primary land management (</w:t>
      </w:r>
      <w:r w:rsidRPr="001743D6">
        <w:rPr>
          <w:rFonts w:ascii="Segoe UI" w:hAnsi="Segoe UI" w:cs="Segoe UI"/>
        </w:rPr>
        <w:fldChar w:fldCharType="begin"/>
      </w:r>
      <w:r w:rsidRPr="001743D6">
        <w:rPr>
          <w:rFonts w:ascii="Segoe UI" w:hAnsi="Segoe UI" w:cs="Segoe UI"/>
        </w:rPr>
        <w:instrText xml:space="preserve"> REF _Ref19089802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Figure </w:t>
      </w:r>
      <w:r w:rsidRPr="001743D6">
        <w:rPr>
          <w:rFonts w:ascii="Segoe UI" w:hAnsi="Segoe UI" w:cs="Segoe UI"/>
          <w:noProof/>
        </w:rPr>
        <w:t>7</w:t>
      </w:r>
      <w:r w:rsidRPr="001743D6">
        <w:rPr>
          <w:rFonts w:ascii="Segoe UI" w:hAnsi="Segoe UI" w:cs="Segoe UI"/>
        </w:rPr>
        <w:fldChar w:fldCharType="end"/>
      </w:r>
      <w:r w:rsidRPr="001743D6">
        <w:rPr>
          <w:rFonts w:ascii="Segoe UI" w:hAnsi="Segoe UI" w:cs="Segoe UI"/>
        </w:rPr>
        <w:t xml:space="preserve">). Informal reserves are not assigned an IUCN protected area category. These categories cover areas of forest and non-forest. IUCN categories are assigned in Victoria by DELWP and submitted to CAPAD. The CAPAD documents for IUCN extend from 1997 to 2016. </w:t>
      </w:r>
    </w:p>
    <w:p w:rsidR="001743D6" w:rsidRPr="001743D6" w:rsidRDefault="001743D6" w:rsidP="001743D6">
      <w:pPr>
        <w:jc w:val="both"/>
        <w:rPr>
          <w:rFonts w:ascii="Segoe UI" w:hAnsi="Segoe UI" w:cs="Segoe UI"/>
        </w:rPr>
      </w:pPr>
      <w:r w:rsidRPr="001743D6">
        <w:rPr>
          <w:rFonts w:ascii="Segoe UI" w:hAnsi="Segoe UI" w:cs="Segoe UI"/>
        </w:rPr>
        <w:t>In the context of the RFA process, the Dedicated Reserve component of the CAR reserve system should be equivalent to Categories I, II, III or IV as defined by the IUCN Commission for National Parks and Protected Areas in 1994 (IUCN 2019a). Definitions of the category system are provided below:</w:t>
      </w:r>
    </w:p>
    <w:p w:rsidR="001743D6" w:rsidRPr="003E70FC" w:rsidRDefault="001743D6" w:rsidP="003E70FC">
      <w:pPr>
        <w:pStyle w:val="ListParagraph"/>
        <w:numPr>
          <w:ilvl w:val="0"/>
          <w:numId w:val="45"/>
        </w:numPr>
        <w:ind w:left="851" w:hanging="567"/>
      </w:pPr>
      <w:proofErr w:type="spellStart"/>
      <w:r w:rsidRPr="003E70FC">
        <w:t>Ia</w:t>
      </w:r>
      <w:proofErr w:type="spellEnd"/>
      <w:r w:rsidRPr="003E70FC">
        <w:t xml:space="preserve"> Strict Nature Reserve: Category </w:t>
      </w:r>
      <w:proofErr w:type="spellStart"/>
      <w:r w:rsidRPr="003E70FC">
        <w:t>Ia</w:t>
      </w:r>
      <w:proofErr w:type="spellEnd"/>
      <w:r w:rsidRPr="003E70FC">
        <w:t xml:space="preserve"> are strictly protected areas set aside to protect biodiversity and also possibly geological/geomorphic features, where human visitation, use and impacts are strictly controlled and limited to ensure protection of the conservation values. </w:t>
      </w:r>
    </w:p>
    <w:p w:rsidR="001743D6" w:rsidRPr="003E70FC" w:rsidRDefault="001743D6" w:rsidP="003E70FC">
      <w:pPr>
        <w:pStyle w:val="ListParagraph"/>
        <w:numPr>
          <w:ilvl w:val="0"/>
          <w:numId w:val="45"/>
        </w:numPr>
        <w:ind w:left="851" w:hanging="567"/>
      </w:pPr>
      <w:proofErr w:type="spellStart"/>
      <w:r w:rsidRPr="003E70FC">
        <w:t>Ib</w:t>
      </w:r>
      <w:proofErr w:type="spellEnd"/>
      <w:r w:rsidRPr="003E70FC">
        <w:t xml:space="preserve"> Wilderness Area: Category </w:t>
      </w:r>
      <w:proofErr w:type="spellStart"/>
      <w:r w:rsidRPr="003E70FC">
        <w:t>Ib</w:t>
      </w:r>
      <w:proofErr w:type="spellEnd"/>
      <w:r w:rsidRPr="003E70FC">
        <w:t xml:space="preserve"> protected areas are usually large unmodified or slightly modified areas, retaining their natural character and influence without permanent or significant human habitation, which are protected and managed so as to preserve their natural condition. </w:t>
      </w:r>
    </w:p>
    <w:p w:rsidR="001743D6" w:rsidRPr="003E70FC" w:rsidRDefault="001743D6" w:rsidP="003E70FC">
      <w:pPr>
        <w:pStyle w:val="ListParagraph"/>
        <w:numPr>
          <w:ilvl w:val="0"/>
          <w:numId w:val="45"/>
        </w:numPr>
        <w:ind w:left="851" w:hanging="567"/>
      </w:pPr>
      <w:r w:rsidRPr="003E70FC">
        <w:t xml:space="preserve">II National Park: Category II protected areas are large natural or near natural areas set aside to protect large-scale ecological processes, along with the complement of species and ecosystems characteristic of the area, which also provide a foundation for environmentally and culturally compatible, spiritual, scientific, educational, recreational and visitor opportunities. </w:t>
      </w:r>
    </w:p>
    <w:p w:rsidR="001743D6" w:rsidRPr="003E70FC" w:rsidRDefault="001743D6" w:rsidP="003E70FC">
      <w:pPr>
        <w:pStyle w:val="ListParagraph"/>
        <w:numPr>
          <w:ilvl w:val="0"/>
          <w:numId w:val="45"/>
        </w:numPr>
        <w:ind w:left="851" w:hanging="567"/>
      </w:pPr>
      <w:r w:rsidRPr="003E70FC">
        <w:t xml:space="preserve">III Natural Monument or Feature: Category III protected areas are set aside to protect a specific natural monument, which can be a landform, sea mount, submarine cavern, geological feature such as a cave or even a living feature such as an ancient grove. They are generally quite small protected areas and often have high visitor value. </w:t>
      </w:r>
    </w:p>
    <w:p w:rsidR="001743D6" w:rsidRPr="003E70FC" w:rsidRDefault="001743D6" w:rsidP="003E70FC">
      <w:pPr>
        <w:pStyle w:val="ListParagraph"/>
        <w:numPr>
          <w:ilvl w:val="0"/>
          <w:numId w:val="45"/>
        </w:numPr>
        <w:ind w:left="851" w:hanging="567"/>
      </w:pPr>
      <w:r w:rsidRPr="003E70FC">
        <w:t xml:space="preserve">IV Habitat/Species Management Area: Category IV protected areas aim to protect particular species or habitats and management reflects this priority. Many Category IV protected areas will need regular, active interventions to address the requirements of particular species or to maintain habitats, but this is not a requirement of the category. </w:t>
      </w:r>
    </w:p>
    <w:p w:rsidR="001743D6" w:rsidRPr="003E70FC" w:rsidRDefault="001743D6" w:rsidP="003E70FC">
      <w:pPr>
        <w:pStyle w:val="ListParagraph"/>
        <w:numPr>
          <w:ilvl w:val="0"/>
          <w:numId w:val="45"/>
        </w:numPr>
        <w:ind w:left="851" w:hanging="567"/>
      </w:pPr>
      <w:r w:rsidRPr="003E70FC">
        <w:t>V Protected Landscape/Seascape: A protected area where the interaction of people and nature over time has produced an area of distinct character with significant, ecological, biological, cultural and scenic value: and where safeguarding the integrity of this interaction is vital to protecting and sustaining the area and its associated nature conservation and other values.</w:t>
      </w:r>
    </w:p>
    <w:p w:rsidR="001743D6" w:rsidRPr="003E70FC" w:rsidRDefault="001743D6" w:rsidP="003E70FC">
      <w:pPr>
        <w:pStyle w:val="ListParagraph"/>
        <w:numPr>
          <w:ilvl w:val="0"/>
          <w:numId w:val="45"/>
        </w:numPr>
        <w:ind w:left="851" w:hanging="567"/>
      </w:pPr>
      <w:r w:rsidRPr="003E70FC">
        <w:t>VI Protected area with sustainable use of natural resources: Category VI protected areas conserve ecosystems and habitats together with associated cultural values and traditional natural resource management systems. They are generally large, with most of the area in a natural condition, where a proportion is under sustainable natural resource management and where low-level non-industrial use of natural resources compatible with nature conservation is seen as one of the main aims of the area.</w:t>
      </w:r>
    </w:p>
    <w:p w:rsidR="001743D6" w:rsidRPr="001743D6" w:rsidRDefault="001743D6" w:rsidP="001743D6">
      <w:pPr>
        <w:contextualSpacing/>
        <w:rPr>
          <w:rFonts w:ascii="Segoe UI" w:hAnsi="Segoe UI" w:cs="Segoe UI"/>
        </w:rPr>
      </w:pPr>
    </w:p>
    <w:p w:rsidR="001743D6" w:rsidRPr="001743D6" w:rsidRDefault="001743D6" w:rsidP="001743D6">
      <w:pPr>
        <w:rPr>
          <w:rFonts w:ascii="Segoe UI" w:hAnsi="Segoe UI" w:cs="Segoe UI"/>
        </w:rPr>
      </w:pPr>
      <w:r w:rsidRPr="001743D6">
        <w:rPr>
          <w:rFonts w:ascii="Segoe UI" w:hAnsi="Segoe UI" w:cs="Segoe UI"/>
          <w:noProof/>
        </w:rPr>
        <w:drawing>
          <wp:inline distT="0" distB="0" distL="0" distR="0" wp14:anchorId="2E9ED27F" wp14:editId="1DFE2443">
            <wp:extent cx="5759450" cy="4055745"/>
            <wp:effectExtent l="0" t="0" r="0" b="1905"/>
            <wp:docPr id="1560527649" name="Picture 15605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val="0"/>
                        </a:ext>
                      </a:extLst>
                    </a:blip>
                    <a:stretch>
                      <a:fillRect/>
                    </a:stretch>
                  </pic:blipFill>
                  <pic:spPr>
                    <a:xfrm>
                      <a:off x="0" y="0"/>
                      <a:ext cx="5759450" cy="4055745"/>
                    </a:xfrm>
                    <a:prstGeom prst="rect">
                      <a:avLst/>
                    </a:prstGeom>
                  </pic:spPr>
                </pic:pic>
              </a:graphicData>
            </a:graphic>
          </wp:inline>
        </w:drawing>
      </w:r>
    </w:p>
    <w:p w:rsidR="001743D6" w:rsidRPr="001743D6" w:rsidRDefault="001743D6" w:rsidP="001743D6">
      <w:pPr>
        <w:spacing w:after="200" w:line="240" w:lineRule="auto"/>
        <w:rPr>
          <w:rFonts w:ascii="Segoe UI Semibold" w:eastAsia="Times New Roman" w:hAnsi="Segoe UI Semibold" w:cs="Times New Roman"/>
          <w:color w:val="016295"/>
        </w:rPr>
      </w:pPr>
      <w:bookmarkStart w:id="21" w:name="_Ref19089802"/>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7</w:t>
      </w:r>
      <w:r w:rsidRPr="001743D6">
        <w:rPr>
          <w:rFonts w:ascii="Segoe UI Semibold" w:eastAsia="Times New Roman" w:hAnsi="Segoe UI Semibold" w:cs="Times New Roman"/>
          <w:noProof/>
          <w:color w:val="016295"/>
        </w:rPr>
        <w:fldChar w:fldCharType="end"/>
      </w:r>
      <w:bookmarkEnd w:id="21"/>
      <w:r w:rsidRPr="001743D6">
        <w:rPr>
          <w:rFonts w:ascii="Segoe UI Semibold" w:eastAsia="Times New Roman" w:hAnsi="Segoe UI Semibold" w:cs="Times New Roman"/>
          <w:color w:val="016295"/>
        </w:rPr>
        <w:t>: IUCN protected areas in Victoria as at 2016</w:t>
      </w:r>
    </w:p>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Source: CAPAD 2016</w:t>
      </w:r>
    </w:p>
    <w:p w:rsidR="001743D6" w:rsidRPr="001743D6" w:rsidRDefault="001743D6" w:rsidP="001743D6">
      <w:pPr>
        <w:rPr>
          <w:rFonts w:ascii="Segoe UI" w:eastAsia="STZhongsong" w:hAnsi="Segoe UI" w:cs="Segoe UI"/>
          <w:bCs/>
          <w:sz w:val="18"/>
          <w:szCs w:val="18"/>
          <w:highlight w:val="red"/>
          <w:lang w:eastAsia="ko-KR"/>
        </w:rPr>
      </w:pPr>
      <w:r w:rsidRPr="001743D6">
        <w:rPr>
          <w:rFonts w:ascii="Segoe UI" w:hAnsi="Segoe UI" w:cs="Segoe UI"/>
          <w:highlight w:val="red"/>
        </w:rPr>
        <w:br w:type="page"/>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22" w:name="_Toc25660810"/>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26</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IUCN area categories per RFA 2014–16 (forest and non-forest)</w:t>
      </w:r>
      <w:bookmarkEnd w:id="22"/>
    </w:p>
    <w:tbl>
      <w:tblPr>
        <w:tblW w:w="0" w:type="auto"/>
        <w:tblLayout w:type="fixed"/>
        <w:tblCellMar>
          <w:top w:w="85" w:type="dxa"/>
          <w:bottom w:w="85" w:type="dxa"/>
        </w:tblCellMar>
        <w:tblLook w:val="04A0" w:firstRow="1" w:lastRow="0" w:firstColumn="1" w:lastColumn="0" w:noHBand="0" w:noVBand="1"/>
      </w:tblPr>
      <w:tblGrid>
        <w:gridCol w:w="1701"/>
        <w:gridCol w:w="2125"/>
        <w:gridCol w:w="1561"/>
        <w:gridCol w:w="1559"/>
      </w:tblGrid>
      <w:tr w:rsidR="001743D6" w:rsidRPr="001743D6" w:rsidTr="00D06FDE">
        <w:trPr>
          <w:trHeight w:val="227"/>
          <w:tblHeader/>
        </w:trPr>
        <w:tc>
          <w:tcPr>
            <w:tcW w:w="1701" w:type="dxa"/>
            <w:tcBorders>
              <w:bottom w:val="single" w:sz="4" w:space="0" w:color="auto"/>
            </w:tcBorders>
            <w:shd w:val="clear" w:color="auto" w:fill="E2EFD9" w:themeFill="accent6" w:themeFillTint="33"/>
            <w:noWrap/>
            <w:vAlign w:val="bottom"/>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IUCN category</w:t>
            </w:r>
          </w:p>
        </w:tc>
        <w:tc>
          <w:tcPr>
            <w:tcW w:w="2125" w:type="dxa"/>
            <w:tcBorders>
              <w:bottom w:val="single" w:sz="4" w:space="0" w:color="auto"/>
            </w:tcBorders>
            <w:shd w:val="clear" w:color="auto" w:fill="E2EFD9" w:themeFill="accent6" w:themeFillTint="33"/>
            <w:noWrap/>
            <w:vAlign w:val="bottom"/>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RFA</w:t>
            </w:r>
          </w:p>
        </w:tc>
        <w:tc>
          <w:tcPr>
            <w:tcW w:w="1561" w:type="dxa"/>
            <w:tcBorders>
              <w:bottom w:val="single" w:sz="4" w:space="0" w:color="auto"/>
            </w:tcBorders>
            <w:shd w:val="clear" w:color="auto" w:fill="E2EFD9" w:themeFill="accent6" w:themeFillTint="33"/>
            <w:noWrap/>
            <w:hideMark/>
          </w:tcPr>
          <w:p w:rsidR="001743D6" w:rsidRPr="001743D6" w:rsidRDefault="001743D6" w:rsidP="001743D6">
            <w:pPr>
              <w:spacing w:after="0" w:line="240" w:lineRule="auto"/>
              <w:jc w:val="right"/>
              <w:rPr>
                <w:rFonts w:ascii="Segoe UI" w:eastAsia="Calibri" w:hAnsi="Segoe UI" w:cs="Calibri"/>
                <w:sz w:val="19"/>
                <w:szCs w:val="19"/>
                <w:lang w:eastAsia="en-AU"/>
              </w:rPr>
            </w:pPr>
            <w:r w:rsidRPr="001743D6">
              <w:rPr>
                <w:rFonts w:ascii="Segoe UI" w:eastAsia="Calibri" w:hAnsi="Segoe UI" w:cs="Calibri"/>
                <w:sz w:val="19"/>
                <w:szCs w:val="19"/>
                <w:lang w:eastAsia="en-AU"/>
              </w:rPr>
              <w:t>2014 (ha)</w:t>
            </w:r>
          </w:p>
        </w:tc>
        <w:tc>
          <w:tcPr>
            <w:tcW w:w="1559" w:type="dxa"/>
            <w:tcBorders>
              <w:bottom w:val="single" w:sz="4" w:space="0" w:color="auto"/>
            </w:tcBorders>
            <w:shd w:val="clear" w:color="auto" w:fill="E2EFD9" w:themeFill="accent6" w:themeFillTint="33"/>
            <w:noWrap/>
            <w:hideMark/>
          </w:tcPr>
          <w:p w:rsidR="001743D6" w:rsidRPr="001743D6" w:rsidRDefault="001743D6" w:rsidP="001743D6">
            <w:pPr>
              <w:spacing w:after="0" w:line="240" w:lineRule="auto"/>
              <w:jc w:val="right"/>
              <w:rPr>
                <w:rFonts w:ascii="Segoe UI" w:eastAsia="Calibri" w:hAnsi="Segoe UI" w:cs="Calibri"/>
                <w:sz w:val="19"/>
                <w:szCs w:val="19"/>
                <w:lang w:eastAsia="en-AU"/>
              </w:rPr>
            </w:pPr>
            <w:r w:rsidRPr="001743D6">
              <w:rPr>
                <w:rFonts w:ascii="Segoe UI" w:eastAsia="Calibri" w:hAnsi="Segoe UI" w:cs="Calibri"/>
                <w:sz w:val="19"/>
                <w:szCs w:val="19"/>
                <w:lang w:eastAsia="en-AU"/>
              </w:rPr>
              <w:t>2016 (ha)</w:t>
            </w:r>
          </w:p>
        </w:tc>
      </w:tr>
      <w:tr w:rsidR="001743D6" w:rsidRPr="001743D6" w:rsidTr="00D06FDE">
        <w:trPr>
          <w:trHeight w:val="227"/>
        </w:trPr>
        <w:tc>
          <w:tcPr>
            <w:tcW w:w="1701"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IA</w:t>
            </w:r>
          </w:p>
        </w:tc>
        <w:tc>
          <w:tcPr>
            <w:tcW w:w="2125"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561"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12,339 </w:t>
            </w:r>
          </w:p>
        </w:tc>
        <w:tc>
          <w:tcPr>
            <w:tcW w:w="1559"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12,339</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28,924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28,924</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36,562</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36,565</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234,514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234,442</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37,126</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37,126</w:t>
            </w:r>
          </w:p>
        </w:tc>
      </w:tr>
      <w:tr w:rsidR="001743D6" w:rsidRPr="001743D6" w:rsidTr="00D06FDE">
        <w:trPr>
          <w:trHeight w:val="227"/>
        </w:trPr>
        <w:tc>
          <w:tcPr>
            <w:tcW w:w="1701"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561"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69,414</w:t>
            </w:r>
          </w:p>
        </w:tc>
        <w:tc>
          <w:tcPr>
            <w:tcW w:w="1559"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69,366</w:t>
            </w:r>
          </w:p>
        </w:tc>
      </w:tr>
      <w:tr w:rsidR="001743D6" w:rsidRPr="001743D6" w:rsidTr="00D06FDE">
        <w:trPr>
          <w:trHeight w:val="227"/>
        </w:trPr>
        <w:tc>
          <w:tcPr>
            <w:tcW w:w="1701"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IB</w:t>
            </w:r>
          </w:p>
        </w:tc>
        <w:tc>
          <w:tcPr>
            <w:tcW w:w="2125"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561"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1559"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61,193</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61,193</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107,634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107,634</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536,126</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536,125</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34,938</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34,939</w:t>
            </w:r>
          </w:p>
        </w:tc>
      </w:tr>
      <w:tr w:rsidR="001743D6" w:rsidRPr="001743D6" w:rsidTr="00D06FDE">
        <w:trPr>
          <w:trHeight w:val="227"/>
        </w:trPr>
        <w:tc>
          <w:tcPr>
            <w:tcW w:w="1701"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561"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1559"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r>
      <w:tr w:rsidR="001743D6" w:rsidRPr="001743D6" w:rsidTr="00D06FDE">
        <w:trPr>
          <w:trHeight w:val="227"/>
        </w:trPr>
        <w:tc>
          <w:tcPr>
            <w:tcW w:w="1701"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II</w:t>
            </w:r>
          </w:p>
        </w:tc>
        <w:tc>
          <w:tcPr>
            <w:tcW w:w="2125"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561"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159,042</w:t>
            </w:r>
          </w:p>
        </w:tc>
        <w:tc>
          <w:tcPr>
            <w:tcW w:w="1559"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158,970</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316,163</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316,161</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309,211</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309,156</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843,379</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842,876</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306,444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306,436</w:t>
            </w:r>
          </w:p>
        </w:tc>
      </w:tr>
      <w:tr w:rsidR="001743D6" w:rsidRPr="001743D6" w:rsidTr="00D06FDE">
        <w:trPr>
          <w:trHeight w:val="227"/>
        </w:trPr>
        <w:tc>
          <w:tcPr>
            <w:tcW w:w="1701"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561"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386,019</w:t>
            </w:r>
          </w:p>
        </w:tc>
        <w:tc>
          <w:tcPr>
            <w:tcW w:w="1559"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385,996</w:t>
            </w:r>
          </w:p>
        </w:tc>
      </w:tr>
      <w:tr w:rsidR="001743D6" w:rsidRPr="001743D6" w:rsidTr="00D06FDE">
        <w:trPr>
          <w:trHeight w:val="227"/>
        </w:trPr>
        <w:tc>
          <w:tcPr>
            <w:tcW w:w="1701"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III</w:t>
            </w:r>
          </w:p>
        </w:tc>
        <w:tc>
          <w:tcPr>
            <w:tcW w:w="2125"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561"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2,369</w:t>
            </w:r>
          </w:p>
        </w:tc>
        <w:tc>
          <w:tcPr>
            <w:tcW w:w="1559"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2,366</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17,534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17,514</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16,655</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16,655</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10,355</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10,356</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8,839</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8,839</w:t>
            </w:r>
          </w:p>
        </w:tc>
      </w:tr>
      <w:tr w:rsidR="001743D6" w:rsidRPr="001743D6" w:rsidTr="00D06FDE">
        <w:trPr>
          <w:trHeight w:val="227"/>
        </w:trPr>
        <w:tc>
          <w:tcPr>
            <w:tcW w:w="1701"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561"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18,589</w:t>
            </w:r>
          </w:p>
        </w:tc>
        <w:tc>
          <w:tcPr>
            <w:tcW w:w="1559"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18,587</w:t>
            </w:r>
          </w:p>
        </w:tc>
      </w:tr>
      <w:tr w:rsidR="001743D6" w:rsidRPr="001743D6" w:rsidTr="00D06FDE">
        <w:trPr>
          <w:trHeight w:val="227"/>
        </w:trPr>
        <w:tc>
          <w:tcPr>
            <w:tcW w:w="1701"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IV</w:t>
            </w:r>
          </w:p>
        </w:tc>
        <w:tc>
          <w:tcPr>
            <w:tcW w:w="2125"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561"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3,371</w:t>
            </w:r>
          </w:p>
        </w:tc>
        <w:tc>
          <w:tcPr>
            <w:tcW w:w="1559"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3,371</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314</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1,404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1,404</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30,305</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30,295</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3,015</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3,016</w:t>
            </w:r>
          </w:p>
        </w:tc>
      </w:tr>
      <w:tr w:rsidR="001743D6" w:rsidRPr="001743D6" w:rsidTr="00D06FDE">
        <w:trPr>
          <w:trHeight w:val="227"/>
        </w:trPr>
        <w:tc>
          <w:tcPr>
            <w:tcW w:w="1701"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561"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9,082</w:t>
            </w:r>
          </w:p>
        </w:tc>
        <w:tc>
          <w:tcPr>
            <w:tcW w:w="1559"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9,061</w:t>
            </w:r>
          </w:p>
        </w:tc>
      </w:tr>
      <w:tr w:rsidR="001743D6" w:rsidRPr="001743D6" w:rsidTr="00D06FDE">
        <w:trPr>
          <w:trHeight w:val="227"/>
        </w:trPr>
        <w:tc>
          <w:tcPr>
            <w:tcW w:w="1701"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V</w:t>
            </w:r>
          </w:p>
        </w:tc>
        <w:tc>
          <w:tcPr>
            <w:tcW w:w="2125"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561"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5,693</w:t>
            </w:r>
          </w:p>
        </w:tc>
        <w:tc>
          <w:tcPr>
            <w:tcW w:w="1559"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5,693</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34,428</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34,428</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16,517</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16,517</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65,374</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65,374</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3,384.9</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3,384.9</w:t>
            </w:r>
          </w:p>
        </w:tc>
      </w:tr>
      <w:tr w:rsidR="001743D6" w:rsidRPr="001743D6" w:rsidTr="00D06FDE">
        <w:trPr>
          <w:trHeight w:val="227"/>
        </w:trPr>
        <w:tc>
          <w:tcPr>
            <w:tcW w:w="1701"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561"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9,699.03</w:t>
            </w:r>
          </w:p>
        </w:tc>
        <w:tc>
          <w:tcPr>
            <w:tcW w:w="1559"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9,699.03</w:t>
            </w:r>
          </w:p>
        </w:tc>
      </w:tr>
      <w:tr w:rsidR="001743D6" w:rsidRPr="001743D6" w:rsidTr="00D06FDE">
        <w:trPr>
          <w:trHeight w:val="227"/>
        </w:trPr>
        <w:tc>
          <w:tcPr>
            <w:tcW w:w="1701"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VI</w:t>
            </w:r>
          </w:p>
        </w:tc>
        <w:tc>
          <w:tcPr>
            <w:tcW w:w="2125" w:type="dxa"/>
            <w:tcBorders>
              <w:top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561"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c>
          <w:tcPr>
            <w:tcW w:w="1559" w:type="dxa"/>
            <w:tcBorders>
              <w:top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0</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8,772.39</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8,772.39</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45,928.08</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45,884.79</w:t>
            </w:r>
          </w:p>
        </w:tc>
      </w:tr>
      <w:tr w:rsidR="001743D6" w:rsidRPr="001743D6" w:rsidTr="00D06FDE">
        <w:trPr>
          <w:trHeight w:val="227"/>
        </w:trPr>
        <w:tc>
          <w:tcPr>
            <w:tcW w:w="1701"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561"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45,221.58</w:t>
            </w:r>
          </w:p>
        </w:tc>
        <w:tc>
          <w:tcPr>
            <w:tcW w:w="1559" w:type="dxa"/>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43,269.84</w:t>
            </w:r>
          </w:p>
        </w:tc>
      </w:tr>
      <w:tr w:rsidR="001743D6" w:rsidRPr="001743D6" w:rsidTr="00D06FDE">
        <w:trPr>
          <w:trHeight w:val="227"/>
        </w:trPr>
        <w:tc>
          <w:tcPr>
            <w:tcW w:w="1701"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2125" w:type="dxa"/>
            <w:tcBorders>
              <w:bottom w:val="single" w:sz="4"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561"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24,010.11</w:t>
            </w:r>
          </w:p>
        </w:tc>
        <w:tc>
          <w:tcPr>
            <w:tcW w:w="1559" w:type="dxa"/>
            <w:tcBorders>
              <w:bottom w:val="single" w:sz="4"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24,010.11</w:t>
            </w:r>
          </w:p>
        </w:tc>
      </w:tr>
    </w:tbl>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Source: CAPAD dataset</w:t>
      </w:r>
    </w:p>
    <w:p w:rsidR="001743D6" w:rsidRPr="001743D6" w:rsidRDefault="001743D6" w:rsidP="001743D6">
      <w:pPr>
        <w:rPr>
          <w:rFonts w:ascii="Segoe UI" w:hAnsi="Segoe UI" w:cs="Segoe UI"/>
        </w:rPr>
      </w:pPr>
      <w:bookmarkStart w:id="23" w:name="_Hlk27393828"/>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 xml:space="preserve">Extent of RFA forest and non-forest ecosystems in protected areas </w:t>
      </w:r>
    </w:p>
    <w:p w:rsidR="001743D6" w:rsidRPr="001743D6" w:rsidRDefault="001743D6" w:rsidP="001743D6">
      <w:pPr>
        <w:jc w:val="both"/>
        <w:rPr>
          <w:rFonts w:ascii="Segoe UI" w:hAnsi="Segoe UI" w:cs="Segoe UI"/>
        </w:rPr>
      </w:pPr>
      <w:r w:rsidRPr="001743D6">
        <w:rPr>
          <w:rFonts w:ascii="Segoe UI" w:hAnsi="Segoe UI" w:cs="Segoe UI"/>
        </w:rPr>
        <w:t xml:space="preserve">Assessment of forest ecosystems is important to determine whether representative examples of these ecosystems and the natural ecological processes that support them are maintained throughout their natural range. </w:t>
      </w:r>
    </w:p>
    <w:p w:rsidR="001743D6" w:rsidRPr="001743D6" w:rsidRDefault="001743D6" w:rsidP="001743D6">
      <w:pPr>
        <w:jc w:val="both"/>
        <w:rPr>
          <w:rFonts w:ascii="Segoe UI" w:hAnsi="Segoe UI" w:cs="Segoe UI"/>
        </w:rPr>
      </w:pPr>
      <w:r w:rsidRPr="001743D6">
        <w:rPr>
          <w:rFonts w:ascii="Segoe UI" w:hAnsi="Segoe UI" w:cs="Segoe UI"/>
        </w:rPr>
        <w:t>Ecological vegetation classes are the basic mapping units used for biodiversity planning and conservation assessment at landscape, regional and broader scales in Victoria. They are derived from large-scale forest type</w:t>
      </w:r>
      <w:r w:rsidRPr="001743D6">
        <w:rPr>
          <w:rFonts w:ascii="Segoe UI" w:hAnsi="Segoe UI" w:cs="Segoe UI"/>
          <w:vertAlign w:val="superscript"/>
        </w:rPr>
        <w:footnoteReference w:id="4"/>
      </w:r>
      <w:r w:rsidRPr="001743D6">
        <w:rPr>
          <w:rFonts w:ascii="Segoe UI" w:hAnsi="Segoe UI" w:cs="Segoe UI"/>
        </w:rPr>
        <w:t xml:space="preserve"> and vegetation community mapping and are based on the following types of information:</w:t>
      </w:r>
    </w:p>
    <w:p w:rsidR="001743D6" w:rsidRPr="003E70FC" w:rsidRDefault="001743D6" w:rsidP="003E70FC">
      <w:pPr>
        <w:pStyle w:val="ListParagraph"/>
        <w:numPr>
          <w:ilvl w:val="0"/>
          <w:numId w:val="46"/>
        </w:numPr>
        <w:ind w:left="851" w:hanging="425"/>
        <w:rPr>
          <w:lang w:eastAsia="ko-KR"/>
        </w:rPr>
      </w:pPr>
      <w:r w:rsidRPr="003E70FC">
        <w:rPr>
          <w:lang w:eastAsia="ko-KR"/>
        </w:rPr>
        <w:t>species composition;</w:t>
      </w:r>
    </w:p>
    <w:p w:rsidR="001743D6" w:rsidRPr="003E70FC" w:rsidRDefault="001743D6" w:rsidP="003E70FC">
      <w:pPr>
        <w:pStyle w:val="ListParagraph"/>
        <w:numPr>
          <w:ilvl w:val="0"/>
          <w:numId w:val="46"/>
        </w:numPr>
        <w:ind w:left="851" w:hanging="425"/>
        <w:rPr>
          <w:lang w:eastAsia="ko-KR"/>
        </w:rPr>
      </w:pPr>
      <w:r w:rsidRPr="003E70FC">
        <w:rPr>
          <w:lang w:eastAsia="ko-KR"/>
        </w:rPr>
        <w:t>forest structure;</w:t>
      </w:r>
    </w:p>
    <w:p w:rsidR="001743D6" w:rsidRPr="003E70FC" w:rsidRDefault="001743D6" w:rsidP="003E70FC">
      <w:pPr>
        <w:pStyle w:val="ListParagraph"/>
        <w:numPr>
          <w:ilvl w:val="0"/>
          <w:numId w:val="46"/>
        </w:numPr>
        <w:ind w:left="851" w:hanging="425"/>
        <w:rPr>
          <w:lang w:eastAsia="ko-KR"/>
        </w:rPr>
      </w:pPr>
      <w:r w:rsidRPr="003E70FC">
        <w:rPr>
          <w:lang w:eastAsia="ko-KR"/>
        </w:rPr>
        <w:t xml:space="preserve">dominant species; </w:t>
      </w:r>
    </w:p>
    <w:p w:rsidR="001743D6" w:rsidRPr="003E70FC" w:rsidRDefault="001743D6" w:rsidP="003E70FC">
      <w:pPr>
        <w:pStyle w:val="ListParagraph"/>
        <w:numPr>
          <w:ilvl w:val="0"/>
          <w:numId w:val="46"/>
        </w:numPr>
        <w:ind w:left="851" w:hanging="425"/>
        <w:rPr>
          <w:lang w:eastAsia="ko-KR"/>
        </w:rPr>
      </w:pPr>
      <w:r w:rsidRPr="003E70FC">
        <w:rPr>
          <w:lang w:eastAsia="ko-KR"/>
        </w:rPr>
        <w:t>ecological information relevant to the species that comprise the communities (including life history and response to disturbance and reproductive strategies); and</w:t>
      </w:r>
    </w:p>
    <w:p w:rsidR="001743D6" w:rsidRPr="003E70FC" w:rsidRDefault="001743D6" w:rsidP="003E70FC">
      <w:pPr>
        <w:pStyle w:val="ListParagraph"/>
        <w:numPr>
          <w:ilvl w:val="0"/>
          <w:numId w:val="46"/>
        </w:numPr>
        <w:ind w:left="851" w:hanging="425"/>
        <w:rPr>
          <w:lang w:eastAsia="ko-KR"/>
        </w:rPr>
      </w:pPr>
      <w:r w:rsidRPr="003E70FC">
        <w:rPr>
          <w:lang w:eastAsia="ko-KR"/>
        </w:rPr>
        <w:t xml:space="preserve">physical environmental attributes such as aspect, elevation, geology and soils, landform, rainfall, salinity and climatic zones.  </w:t>
      </w:r>
    </w:p>
    <w:p w:rsidR="001743D6" w:rsidRPr="001743D6" w:rsidRDefault="001743D6" w:rsidP="001743D6">
      <w:pPr>
        <w:jc w:val="both"/>
        <w:rPr>
          <w:rFonts w:ascii="Segoe UI" w:hAnsi="Segoe UI" w:cs="Segoe UI"/>
        </w:rPr>
      </w:pPr>
      <w:r w:rsidRPr="001743D6">
        <w:rPr>
          <w:rFonts w:ascii="Segoe UI" w:hAnsi="Segoe UI" w:cs="Segoe UI"/>
        </w:rPr>
        <w:t>Each EVC represents one or more plant communities that occur in similar types of environments. The communities in each EVC tend to show similar ecological responses to environmental factors such as disturbance (e.g. bushfire). As well as representing plant communities, the EVCs can be used as a guide to the distribution of individual species and groups of species, including animals, and lower plants such as mosses and liverworts.</w:t>
      </w:r>
    </w:p>
    <w:p w:rsidR="001743D6" w:rsidRPr="001743D6" w:rsidRDefault="001743D6" w:rsidP="001743D6">
      <w:pPr>
        <w:jc w:val="both"/>
        <w:rPr>
          <w:rFonts w:ascii="Segoe UI" w:hAnsi="Segoe UI" w:cs="Segoe UI"/>
          <w:i/>
          <w:lang w:eastAsia="ja-JP"/>
        </w:rPr>
      </w:pPr>
      <w:r w:rsidRPr="001743D6">
        <w:rPr>
          <w:rFonts w:ascii="Segoe UI" w:hAnsi="Segoe UI" w:cs="Segoe UI"/>
          <w:lang w:eastAsia="ja-JP"/>
        </w:rPr>
        <w:t xml:space="preserve">For the purposes of RFAs, EVCs are equivalent to forest ecosystems, as defined in the </w:t>
      </w:r>
      <w:r w:rsidRPr="001743D6">
        <w:rPr>
          <w:rFonts w:ascii="Segoe UI" w:hAnsi="Segoe UI" w:cs="Segoe UI"/>
          <w:i/>
          <w:lang w:eastAsia="ja-JP"/>
        </w:rPr>
        <w:t xml:space="preserve">Nationally Agreed Criteria for the Establishment of a Comprehensive, Adequate and Representative Reserve System for Forests  in Australia </w:t>
      </w:r>
      <w:r w:rsidRPr="001743D6">
        <w:rPr>
          <w:rFonts w:ascii="Segoe UI" w:hAnsi="Segoe UI" w:cs="Segoe UI"/>
          <w:lang w:eastAsia="ja-JP"/>
        </w:rPr>
        <w:t>(</w:t>
      </w:r>
      <w:r w:rsidRPr="001743D6">
        <w:rPr>
          <w:rFonts w:ascii="Segoe UI" w:hAnsi="Segoe UI" w:cs="Segoe UI"/>
        </w:rPr>
        <w:t>Commonwealth of Australia 1997) (JANIS criteria)</w:t>
      </w:r>
      <w:r w:rsidRPr="001743D6">
        <w:rPr>
          <w:rFonts w:ascii="Segoe UI" w:hAnsi="Segoe UI" w:cs="Segoe UI"/>
          <w:lang w:eastAsia="ja-JP"/>
        </w:rPr>
        <w:t xml:space="preserve">. </w:t>
      </w:r>
    </w:p>
    <w:p w:rsidR="001743D6" w:rsidRPr="001743D6" w:rsidRDefault="001743D6" w:rsidP="001743D6">
      <w:pPr>
        <w:jc w:val="both"/>
        <w:rPr>
          <w:rFonts w:ascii="Segoe UI" w:hAnsi="Segoe UI" w:cs="Segoe UI"/>
        </w:rPr>
      </w:pPr>
      <w:r w:rsidRPr="001743D6">
        <w:rPr>
          <w:rFonts w:ascii="Segoe UI" w:hAnsi="Segoe UI" w:cs="Segoe UI"/>
        </w:rPr>
        <w:t xml:space="preserve">Current EVC maps for Victoria are publicly accessible on </w:t>
      </w:r>
      <w:proofErr w:type="spellStart"/>
      <w:r w:rsidRPr="001743D6">
        <w:rPr>
          <w:rFonts w:ascii="Segoe UI" w:hAnsi="Segoe UI" w:cs="Segoe UI"/>
        </w:rPr>
        <w:t>NatureKit</w:t>
      </w:r>
      <w:proofErr w:type="spellEnd"/>
      <w:r w:rsidRPr="001743D6">
        <w:rPr>
          <w:rFonts w:ascii="Segoe UI" w:hAnsi="Segoe UI" w:cs="Segoe UI"/>
          <w:vertAlign w:val="superscript"/>
        </w:rPr>
        <w:footnoteReference w:id="5"/>
      </w:r>
      <w:r w:rsidRPr="001743D6">
        <w:rPr>
          <w:rFonts w:ascii="Segoe UI" w:hAnsi="Segoe UI" w:cs="Segoe UI"/>
        </w:rPr>
        <w:t xml:space="preserve"> and the Spatial Datamart</w:t>
      </w:r>
    </w:p>
    <w:p w:rsidR="001743D6" w:rsidRPr="001743D6" w:rsidRDefault="001743D6" w:rsidP="001743D6">
      <w:pPr>
        <w:keepNext/>
        <w:keepLines/>
        <w:spacing w:before="40" w:after="40"/>
        <w:outlineLvl w:val="4"/>
        <w:rPr>
          <w:rFonts w:ascii="Segoe UI" w:eastAsia="STZhongsong" w:hAnsi="Segoe UI" w:cs="Majalla UI"/>
          <w:i/>
          <w:color w:val="13345C"/>
        </w:rPr>
      </w:pPr>
      <w:r w:rsidRPr="001743D6">
        <w:rPr>
          <w:rFonts w:ascii="Segoe UI" w:eastAsia="STZhongsong" w:hAnsi="Segoe UI" w:cs="Majalla UI"/>
          <w:i/>
          <w:color w:val="13345C"/>
        </w:rPr>
        <w:t xml:space="preserve">Comprehensive Regional Assessment </w:t>
      </w:r>
    </w:p>
    <w:p w:rsidR="001743D6" w:rsidRPr="001743D6" w:rsidRDefault="001743D6" w:rsidP="001743D6">
      <w:pPr>
        <w:jc w:val="both"/>
        <w:rPr>
          <w:rFonts w:ascii="Segoe UI" w:hAnsi="Segoe UI" w:cs="Segoe UI"/>
          <w:lang w:eastAsia="ja-JP"/>
        </w:rPr>
      </w:pPr>
      <w:r w:rsidRPr="001743D6">
        <w:rPr>
          <w:rFonts w:ascii="Segoe UI" w:hAnsi="Segoe UI" w:cs="Segoe UI"/>
          <w:lang w:eastAsia="ja-JP"/>
        </w:rPr>
        <w:t>The extent of forest ecosystems in the Victorian RFA regions were assessed through the CRA process between 1996 and 1999.</w:t>
      </w:r>
      <w:r w:rsidRPr="001743D6">
        <w:rPr>
          <w:rFonts w:ascii="Segoe UI" w:hAnsi="Segoe UI" w:cs="Segoe UI"/>
          <w:vertAlign w:val="superscript"/>
          <w:lang w:eastAsia="ja-JP"/>
        </w:rPr>
        <w:footnoteReference w:id="6"/>
      </w:r>
      <w:r w:rsidRPr="001743D6">
        <w:rPr>
          <w:rFonts w:ascii="Segoe UI" w:hAnsi="Segoe UI" w:cs="Segoe UI"/>
          <w:lang w:eastAsia="ja-JP"/>
        </w:rPr>
        <w:t xml:space="preserve"> </w:t>
      </w:r>
    </w:p>
    <w:p w:rsidR="001743D6" w:rsidRPr="001743D6" w:rsidRDefault="001743D6" w:rsidP="001743D6">
      <w:pPr>
        <w:jc w:val="both"/>
        <w:rPr>
          <w:rFonts w:ascii="Segoe UI" w:hAnsi="Segoe UI" w:cs="Segoe UI"/>
          <w:lang w:eastAsia="ja-JP"/>
        </w:rPr>
      </w:pPr>
      <w:r w:rsidRPr="001743D6">
        <w:rPr>
          <w:rFonts w:ascii="Segoe UI" w:hAnsi="Segoe UI" w:cs="Segoe UI"/>
          <w:lang w:eastAsia="ja-JP"/>
        </w:rPr>
        <w:t xml:space="preserve">Under the CRA process, an assessment of the existing reserve system was undertaken to establish the reservation levels at that time for each EVC as a proportion of its pre-1750 extent. </w:t>
      </w:r>
    </w:p>
    <w:p w:rsidR="001743D6" w:rsidRPr="001743D6" w:rsidRDefault="001743D6" w:rsidP="001743D6">
      <w:pPr>
        <w:jc w:val="both"/>
        <w:rPr>
          <w:rFonts w:ascii="Segoe UI" w:hAnsi="Segoe UI" w:cs="Segoe UI"/>
        </w:rPr>
      </w:pPr>
      <w:r w:rsidRPr="001743D6">
        <w:rPr>
          <w:rFonts w:ascii="Segoe UI" w:hAnsi="Segoe UI" w:cs="Segoe UI"/>
        </w:rPr>
        <w:t>At the time of assessment, a total of 103 extant EVCs were identified as occurring in the Gippsland RFA region. Fourteen EVCs occur predominantly on private land, with the remaining 89 occurring mainly on public land. Fifty-nine were classified as endangered, vulnerable or rare within the Gippsland RFA region.</w:t>
      </w:r>
    </w:p>
    <w:p w:rsidR="001743D6" w:rsidRPr="001743D6" w:rsidRDefault="001743D6" w:rsidP="001743D6">
      <w:pPr>
        <w:jc w:val="both"/>
        <w:rPr>
          <w:rFonts w:ascii="Segoe UI" w:hAnsi="Segoe UI" w:cs="Segoe UI"/>
        </w:rPr>
      </w:pPr>
      <w:r w:rsidRPr="001743D6">
        <w:rPr>
          <w:rFonts w:ascii="Segoe UI" w:hAnsi="Segoe UI" w:cs="Segoe UI"/>
        </w:rPr>
        <w:t xml:space="preserve">In the North East RFA region, a total of 58 EVCs were identified. Thirty-one occur predominantly on private land, with the remaining 27 occurring mainly on public land. A total of 46 EVCs were classified as endangered, vulnerable or rare. </w:t>
      </w:r>
    </w:p>
    <w:p w:rsidR="001743D6" w:rsidRPr="001743D6" w:rsidRDefault="001743D6" w:rsidP="001743D6">
      <w:pPr>
        <w:jc w:val="both"/>
        <w:rPr>
          <w:rFonts w:ascii="Segoe UI" w:hAnsi="Segoe UI" w:cs="Segoe UI"/>
        </w:rPr>
      </w:pPr>
      <w:r w:rsidRPr="001743D6">
        <w:rPr>
          <w:rFonts w:ascii="Segoe UI" w:hAnsi="Segoe UI" w:cs="Segoe UI"/>
        </w:rPr>
        <w:t xml:space="preserve">In the West RFA region, a total of 96 EVCs were identified as currently occurring. Twenty of the EVCs occur predominantly on private land, with the remaining 76 occurring mainly on public land. A total of 74 EVCs were classified as endangered, vulnerable or rare. </w:t>
      </w:r>
    </w:p>
    <w:p w:rsidR="001743D6" w:rsidRPr="001743D6" w:rsidRDefault="001743D6" w:rsidP="001743D6">
      <w:pPr>
        <w:jc w:val="both"/>
        <w:rPr>
          <w:rFonts w:ascii="Segoe UI" w:hAnsi="Segoe UI" w:cs="Segoe UI"/>
        </w:rPr>
      </w:pPr>
      <w:r w:rsidRPr="001743D6">
        <w:rPr>
          <w:rFonts w:ascii="Segoe UI" w:hAnsi="Segoe UI" w:cs="Segoe UI"/>
        </w:rPr>
        <w:t xml:space="preserve">In the East Gippsland RFA region, a total of 49 EVCs were identified. More than 15 per cent of the pre-1750 extent of all but one EVC (Limestone Grassy Woodland) is protected in the conservation reserve system, while for most EVCs in the region, 60 per cent or greater is protected in the conservation reserve system. A total of 20 EVCs were classified as rare. Tables referring to endangered or vulnerable EVCs are missing from the East Gippsland CRA. </w:t>
      </w:r>
    </w:p>
    <w:p w:rsidR="001743D6" w:rsidRPr="001743D6" w:rsidRDefault="001743D6" w:rsidP="001743D6">
      <w:pPr>
        <w:jc w:val="both"/>
        <w:rPr>
          <w:rFonts w:ascii="Segoe UI" w:hAnsi="Segoe UI" w:cs="Segoe UI"/>
        </w:rPr>
      </w:pPr>
      <w:r w:rsidRPr="001743D6">
        <w:rPr>
          <w:rFonts w:ascii="Segoe UI" w:hAnsi="Segoe UI" w:cs="Segoe UI"/>
        </w:rPr>
        <w:t xml:space="preserve">In the Central Highlands, a total of 43 EVCs were identified. A total of 27 EVCs were classified as endangered, vulnerable or rare. </w:t>
      </w:r>
    </w:p>
    <w:p w:rsidR="001743D6" w:rsidRPr="001743D6" w:rsidRDefault="001743D6" w:rsidP="001743D6">
      <w:pPr>
        <w:jc w:val="both"/>
        <w:rPr>
          <w:rFonts w:ascii="Segoe UI" w:hAnsi="Segoe UI" w:cs="Segoe UI"/>
        </w:rPr>
      </w:pPr>
      <w:r w:rsidRPr="001743D6">
        <w:rPr>
          <w:rFonts w:ascii="Segoe UI" w:hAnsi="Segoe UI" w:cs="Segoe UI"/>
        </w:rPr>
        <w:t>The conservation status of EVCs in all RFA regions was assessed in the CRAs using the Nationally Agreed Criteria for the Establishment of a Comprehensive, Adequate and Representative Reserve System for Forests in Australia (</w:t>
      </w:r>
      <w:r w:rsidRPr="001743D6">
        <w:rPr>
          <w:rFonts w:ascii="Segoe UI" w:hAnsi="Segoe UI" w:cs="Segoe UI"/>
        </w:rPr>
        <w:fldChar w:fldCharType="begin"/>
      </w:r>
      <w:r w:rsidRPr="001743D6">
        <w:rPr>
          <w:rFonts w:ascii="Segoe UI" w:hAnsi="Segoe UI" w:cs="Segoe UI"/>
        </w:rPr>
        <w:instrText xml:space="preserve"> REF _Ref14325803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Table </w:t>
      </w:r>
      <w:r w:rsidRPr="001743D6">
        <w:rPr>
          <w:rFonts w:ascii="Segoe UI" w:hAnsi="Segoe UI" w:cs="Segoe UI"/>
          <w:noProof/>
        </w:rPr>
        <w:t>27</w:t>
      </w:r>
      <w:r w:rsidRPr="001743D6">
        <w:rPr>
          <w:rFonts w:ascii="Segoe UI" w:hAnsi="Segoe UI" w:cs="Segoe UI"/>
        </w:rPr>
        <w:fldChar w:fldCharType="end"/>
      </w:r>
      <w:r w:rsidRPr="001743D6">
        <w:rPr>
          <w:rFonts w:ascii="Segoe UI" w:hAnsi="Segoe UI" w:cs="Segoe UI"/>
        </w:rPr>
        <w:t xml:space="preserve">; JANIS 1997). </w:t>
      </w:r>
    </w:p>
    <w:p w:rsidR="001743D6" w:rsidRPr="001743D6" w:rsidRDefault="001743D6" w:rsidP="001743D6">
      <w:pPr>
        <w:spacing w:after="200" w:line="240" w:lineRule="auto"/>
        <w:rPr>
          <w:rFonts w:ascii="Segoe UI Semibold" w:eastAsia="Times New Roman" w:hAnsi="Segoe UI Semibold" w:cs="Times New Roman"/>
          <w:color w:val="016295"/>
        </w:rPr>
      </w:pPr>
      <w:bookmarkStart w:id="25" w:name="_Ref11410026"/>
      <w:bookmarkStart w:id="26" w:name="_Ref14325803"/>
      <w:bookmarkStart w:id="27" w:name="_Ref11410021"/>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27</w:t>
      </w:r>
      <w:r w:rsidRPr="001743D6">
        <w:rPr>
          <w:rFonts w:ascii="Segoe UI Semibold" w:eastAsia="Times New Roman" w:hAnsi="Segoe UI Semibold" w:cs="Times New Roman"/>
          <w:noProof/>
          <w:color w:val="016295"/>
        </w:rPr>
        <w:fldChar w:fldCharType="end"/>
      </w:r>
      <w:bookmarkEnd w:id="25"/>
      <w:bookmarkEnd w:id="26"/>
      <w:r w:rsidRPr="001743D6">
        <w:rPr>
          <w:rFonts w:ascii="Segoe UI Semibold" w:eastAsia="Times New Roman" w:hAnsi="Segoe UI Semibold" w:cs="Times New Roman"/>
          <w:color w:val="016295"/>
        </w:rPr>
        <w:t xml:space="preserve">: Nationally Agreed Criteria for the Establishment of a Comprehensive, Adequate and Representative Reserve System for Forests in Australia (JANIS 1997) </w:t>
      </w:r>
    </w:p>
    <w:tbl>
      <w:tblPr>
        <w:tblW w:w="9062" w:type="dxa"/>
        <w:tblLayout w:type="fixed"/>
        <w:tblCellMar>
          <w:top w:w="85" w:type="dxa"/>
          <w:bottom w:w="85" w:type="dxa"/>
        </w:tblCellMar>
        <w:tblLook w:val="04A0" w:firstRow="1" w:lastRow="0" w:firstColumn="1" w:lastColumn="0" w:noHBand="0" w:noVBand="1"/>
      </w:tblPr>
      <w:tblGrid>
        <w:gridCol w:w="1975"/>
        <w:gridCol w:w="7087"/>
      </w:tblGrid>
      <w:tr w:rsidR="001743D6" w:rsidRPr="001743D6" w:rsidTr="00D06FDE">
        <w:tc>
          <w:tcPr>
            <w:tcW w:w="1975" w:type="dxa"/>
            <w:tcBorders>
              <w:bottom w:val="single" w:sz="8" w:space="0" w:color="auto"/>
            </w:tcBorders>
            <w:shd w:val="clear" w:color="auto" w:fill="E2EFD9" w:themeFill="accent6" w:themeFillTint="33"/>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Status of EVC</w:t>
            </w:r>
          </w:p>
        </w:tc>
        <w:tc>
          <w:tcPr>
            <w:tcW w:w="7087" w:type="dxa"/>
            <w:tcBorders>
              <w:bottom w:val="single" w:sz="8" w:space="0" w:color="auto"/>
            </w:tcBorders>
            <w:shd w:val="clear" w:color="auto" w:fill="E2EFD9" w:themeFill="accent6" w:themeFillTint="33"/>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Criteria</w:t>
            </w:r>
          </w:p>
        </w:tc>
      </w:tr>
      <w:tr w:rsidR="001743D6" w:rsidRPr="001743D6" w:rsidTr="00D06FDE">
        <w:tc>
          <w:tcPr>
            <w:tcW w:w="197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Rare</w:t>
            </w:r>
          </w:p>
        </w:tc>
        <w:tc>
          <w:tcPr>
            <w:tcW w:w="7087" w:type="dxa"/>
            <w:tcBorders>
              <w:top w:val="single" w:sz="8" w:space="0" w:color="auto"/>
              <w:bottom w:val="single" w:sz="8" w:space="0" w:color="auto"/>
            </w:tcBorders>
            <w:noWrap/>
            <w:hideMark/>
          </w:tcPr>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R1. Total range generally less than 10,000 ha.</w:t>
            </w:r>
          </w:p>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R2. Total area generally less than 1,000 ha.</w:t>
            </w:r>
          </w:p>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R3. Patch sizes generally less than 100 ha.</w:t>
            </w:r>
          </w:p>
        </w:tc>
      </w:tr>
      <w:tr w:rsidR="001743D6" w:rsidRPr="001743D6" w:rsidTr="00D06FDE">
        <w:tc>
          <w:tcPr>
            <w:tcW w:w="197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Vulnerable</w:t>
            </w:r>
          </w:p>
        </w:tc>
        <w:tc>
          <w:tcPr>
            <w:tcW w:w="7087" w:type="dxa"/>
            <w:tcBorders>
              <w:top w:val="single" w:sz="8" w:space="0" w:color="auto"/>
              <w:bottom w:val="single" w:sz="8" w:space="0" w:color="auto"/>
            </w:tcBorders>
            <w:noWrap/>
            <w:hideMark/>
          </w:tcPr>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V1. Approaching greater than 70 per cent lost (depletion) and remains subject to threatening processes.</w:t>
            </w:r>
          </w:p>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V2. Includes EVCs where threatening processes have caused:</w:t>
            </w:r>
          </w:p>
          <w:p w:rsidR="001743D6" w:rsidRPr="001743D6" w:rsidRDefault="001743D6" w:rsidP="001743D6">
            <w:pPr>
              <w:numPr>
                <w:ilvl w:val="0"/>
                <w:numId w:val="32"/>
              </w:numPr>
              <w:spacing w:before="20" w:after="0" w:line="240" w:lineRule="auto"/>
              <w:ind w:left="616" w:hanging="284"/>
              <w:rPr>
                <w:rFonts w:ascii="Segoe UI" w:eastAsia="Calibri" w:hAnsi="Segoe UI" w:cs="Calibri"/>
                <w:sz w:val="19"/>
                <w:szCs w:val="19"/>
                <w:lang w:eastAsia="en-AU"/>
              </w:rPr>
            </w:pPr>
            <w:r w:rsidRPr="001743D6">
              <w:rPr>
                <w:rFonts w:ascii="Segoe UI" w:eastAsia="Calibri" w:hAnsi="Segoe UI" w:cs="Calibri"/>
                <w:sz w:val="19"/>
                <w:szCs w:val="19"/>
                <w:lang w:eastAsia="en-AU"/>
              </w:rPr>
              <w:t>significant changes in species composition,</w:t>
            </w:r>
          </w:p>
          <w:p w:rsidR="001743D6" w:rsidRPr="001743D6" w:rsidRDefault="001743D6" w:rsidP="001743D6">
            <w:pPr>
              <w:numPr>
                <w:ilvl w:val="0"/>
                <w:numId w:val="32"/>
              </w:numPr>
              <w:spacing w:before="20" w:after="0" w:line="240" w:lineRule="auto"/>
              <w:ind w:left="616" w:hanging="284"/>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loss or significant decline in species that play a major role within the ecosystem, or </w:t>
            </w:r>
          </w:p>
          <w:p w:rsidR="001743D6" w:rsidRPr="001743D6" w:rsidRDefault="001743D6" w:rsidP="001743D6">
            <w:pPr>
              <w:numPr>
                <w:ilvl w:val="0"/>
                <w:numId w:val="32"/>
              </w:numPr>
              <w:spacing w:before="20" w:after="0" w:line="240" w:lineRule="auto"/>
              <w:ind w:left="616" w:hanging="284"/>
              <w:rPr>
                <w:rFonts w:ascii="Segoe UI" w:eastAsia="Calibri" w:hAnsi="Segoe UI" w:cs="Calibri"/>
                <w:sz w:val="19"/>
                <w:szCs w:val="19"/>
                <w:lang w:eastAsia="en-AU"/>
              </w:rPr>
            </w:pPr>
            <w:r w:rsidRPr="001743D6">
              <w:rPr>
                <w:rFonts w:ascii="Segoe UI" w:eastAsia="Calibri" w:hAnsi="Segoe UI" w:cs="Calibri"/>
                <w:sz w:val="19"/>
                <w:szCs w:val="19"/>
                <w:lang w:eastAsia="en-AU"/>
              </w:rPr>
              <w:t>significant alteration to ecosystem processes.</w:t>
            </w:r>
          </w:p>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V3. Not depleted but subject to continuing threatening processes which may reduce its extent.</w:t>
            </w:r>
          </w:p>
        </w:tc>
      </w:tr>
      <w:tr w:rsidR="001743D6" w:rsidRPr="001743D6" w:rsidTr="00D06FDE">
        <w:tc>
          <w:tcPr>
            <w:tcW w:w="197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Endangered</w:t>
            </w:r>
          </w:p>
        </w:tc>
        <w:tc>
          <w:tcPr>
            <w:tcW w:w="7087" w:type="dxa"/>
            <w:tcBorders>
              <w:top w:val="single" w:sz="8" w:space="0" w:color="auto"/>
              <w:bottom w:val="single" w:sz="8" w:space="0" w:color="auto"/>
            </w:tcBorders>
            <w:noWrap/>
            <w:hideMark/>
          </w:tcPr>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E1. Distribution has contracted to less than 10 per cent of original range.</w:t>
            </w:r>
          </w:p>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E2. Less than 10 per cent of original area remaining.</w:t>
            </w:r>
          </w:p>
          <w:p w:rsidR="001743D6" w:rsidRPr="001743D6" w:rsidRDefault="001743D6" w:rsidP="001743D6">
            <w:pPr>
              <w:spacing w:after="80" w:line="240" w:lineRule="auto"/>
              <w:ind w:left="318" w:hanging="318"/>
              <w:rPr>
                <w:rFonts w:ascii="Segoe UI" w:eastAsia="Calibri" w:hAnsi="Segoe UI" w:cs="Calibri"/>
                <w:sz w:val="19"/>
                <w:szCs w:val="19"/>
                <w:lang w:eastAsia="en-AU"/>
              </w:rPr>
            </w:pPr>
            <w:r w:rsidRPr="001743D6">
              <w:rPr>
                <w:rFonts w:ascii="Segoe UI" w:eastAsia="Calibri" w:hAnsi="Segoe UI" w:cs="Calibri"/>
                <w:sz w:val="19"/>
                <w:szCs w:val="19"/>
                <w:lang w:eastAsia="en-AU"/>
              </w:rPr>
              <w:t>E3. 90 per cent of area is in small patches subject to threatening processes and unlikely to persist.</w:t>
            </w:r>
          </w:p>
        </w:tc>
      </w:tr>
    </w:tbl>
    <w:p w:rsidR="001743D6" w:rsidRPr="001743D6" w:rsidRDefault="001743D6" w:rsidP="001743D6">
      <w:pPr>
        <w:rPr>
          <w:rFonts w:ascii="Segoe UI" w:hAnsi="Segoe UI" w:cs="Segoe UI"/>
        </w:rPr>
      </w:pPr>
    </w:p>
    <w:p w:rsidR="001743D6" w:rsidRPr="001743D6" w:rsidRDefault="001743D6" w:rsidP="001743D6">
      <w:pPr>
        <w:keepNext/>
        <w:keepLines/>
        <w:spacing w:before="40" w:after="40"/>
        <w:outlineLvl w:val="4"/>
        <w:rPr>
          <w:rFonts w:ascii="Segoe UI" w:eastAsia="STZhongsong" w:hAnsi="Segoe UI" w:cs="Majalla UI"/>
          <w:i/>
          <w:color w:val="13345C"/>
        </w:rPr>
      </w:pPr>
      <w:r w:rsidRPr="001743D6">
        <w:rPr>
          <w:rFonts w:ascii="Segoe UI" w:eastAsia="STZhongsong" w:hAnsi="Segoe UI" w:cs="Majalla UI"/>
          <w:i/>
          <w:color w:val="13345C"/>
        </w:rPr>
        <w:t xml:space="preserve">Conservation Status Reassessment </w:t>
      </w:r>
    </w:p>
    <w:p w:rsidR="001743D6" w:rsidRPr="001743D6" w:rsidRDefault="001743D6" w:rsidP="001743D6">
      <w:pPr>
        <w:jc w:val="both"/>
        <w:rPr>
          <w:rFonts w:ascii="Segoe UI" w:hAnsi="Segoe UI" w:cs="Segoe UI"/>
        </w:rPr>
      </w:pPr>
      <w:r w:rsidRPr="001743D6">
        <w:rPr>
          <w:rFonts w:ascii="Segoe UI" w:hAnsi="Segoe UI" w:cs="Segoe UI"/>
        </w:rPr>
        <w:t>The conservation status of EVCs in Victoria’s five RFA regions has been reassessed in line with the national reserve criteria (</w:t>
      </w:r>
      <w:r w:rsidRPr="001743D6">
        <w:rPr>
          <w:rFonts w:ascii="Segoe UI" w:hAnsi="Segoe UI" w:cs="Segoe UI"/>
        </w:rPr>
        <w:fldChar w:fldCharType="begin"/>
      </w:r>
      <w:r w:rsidRPr="001743D6">
        <w:rPr>
          <w:rFonts w:ascii="Segoe UI" w:hAnsi="Segoe UI" w:cs="Segoe UI"/>
        </w:rPr>
        <w:instrText xml:space="preserve"> REF _Ref14325803 \h  \* MERGEFORMAT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Table </w:t>
      </w:r>
      <w:r w:rsidRPr="001743D6">
        <w:rPr>
          <w:rFonts w:ascii="Segoe UI" w:hAnsi="Segoe UI" w:cs="Segoe UI"/>
          <w:noProof/>
        </w:rPr>
        <w:t>27</w:t>
      </w:r>
      <w:r w:rsidRPr="001743D6">
        <w:rPr>
          <w:rFonts w:ascii="Segoe UI" w:hAnsi="Segoe UI" w:cs="Segoe UI"/>
        </w:rPr>
        <w:fldChar w:fldCharType="end"/>
      </w:r>
      <w:r w:rsidRPr="001743D6">
        <w:rPr>
          <w:rFonts w:ascii="Segoe UI" w:hAnsi="Segoe UI" w:cs="Segoe UI"/>
        </w:rPr>
        <w:t xml:space="preserve">; JANIS 1997), presented in Appendix </w:t>
      </w:r>
      <w:r w:rsidRPr="001743D6">
        <w:rPr>
          <w:rFonts w:ascii="Segoe UI" w:hAnsi="Segoe UI" w:cs="Segoe UI"/>
        </w:rPr>
        <w:fldChar w:fldCharType="begin"/>
      </w:r>
      <w:r w:rsidRPr="001743D6">
        <w:rPr>
          <w:rFonts w:ascii="Segoe UI" w:hAnsi="Segoe UI" w:cs="Segoe UI"/>
        </w:rPr>
        <w:instrText xml:space="preserve"> REF _Ref27580305 \w \h  \* MERGEFORMAT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5</w:t>
      </w:r>
      <w:r w:rsidRPr="001743D6">
        <w:rPr>
          <w:rFonts w:ascii="Segoe UI" w:hAnsi="Segoe UI" w:cs="Segoe UI"/>
        </w:rPr>
        <w:fldChar w:fldCharType="end"/>
      </w:r>
      <w:r w:rsidRPr="001743D6">
        <w:rPr>
          <w:rFonts w:ascii="Segoe UI" w:hAnsi="Segoe UI" w:cs="Segoe UI"/>
        </w:rPr>
        <w:t xml:space="preserve"> and summarised below. </w:t>
      </w:r>
      <w:bookmarkEnd w:id="27"/>
    </w:p>
    <w:p w:rsidR="001743D6" w:rsidRPr="001743D6" w:rsidRDefault="001743D6" w:rsidP="001743D6">
      <w:pPr>
        <w:jc w:val="both"/>
        <w:rPr>
          <w:rFonts w:ascii="Segoe UI" w:hAnsi="Segoe UI" w:cs="Segoe UI"/>
        </w:rPr>
      </w:pPr>
      <w:r w:rsidRPr="001743D6">
        <w:rPr>
          <w:rFonts w:ascii="Segoe UI" w:hAnsi="Segoe UI" w:cs="Segoe UI"/>
        </w:rPr>
        <w:t xml:space="preserve">The conservation status reassessment of EVCs was conducted using the best available information and considered the impact of past and potential future threatening processes relevant to EVCs within each RFA region.  </w:t>
      </w:r>
    </w:p>
    <w:p w:rsidR="001743D6" w:rsidRPr="001743D6" w:rsidRDefault="001743D6" w:rsidP="001743D6">
      <w:pPr>
        <w:jc w:val="both"/>
        <w:rPr>
          <w:rFonts w:ascii="Segoe UI" w:hAnsi="Segoe UI" w:cs="Segoe UI"/>
        </w:rPr>
      </w:pPr>
      <w:r w:rsidRPr="001743D6">
        <w:rPr>
          <w:rFonts w:ascii="Segoe UI" w:hAnsi="Segoe UI" w:cs="Segoe UI"/>
        </w:rPr>
        <w:t xml:space="preserve">Threatening processes considered in this assessment included land clearing, altered fire regimes, weed invasion, timber harvesting, sea level rise, climate change, overabundant or introduced grazers and browsers, livestock grazing, cropping and the cumulative effect of these threats. </w:t>
      </w:r>
    </w:p>
    <w:p w:rsidR="001743D6" w:rsidRPr="001743D6" w:rsidRDefault="001743D6" w:rsidP="001743D6">
      <w:pPr>
        <w:jc w:val="both"/>
        <w:rPr>
          <w:rFonts w:ascii="Segoe UI" w:hAnsi="Segoe UI" w:cs="Segoe UI"/>
        </w:rPr>
      </w:pPr>
      <w:r w:rsidRPr="001743D6">
        <w:rPr>
          <w:rFonts w:ascii="Segoe UI" w:hAnsi="Segoe UI" w:cs="Segoe UI"/>
        </w:rPr>
        <w:t xml:space="preserve">In line with JANIS (1997) conservation statuses were assigned using both area-based criteria and consideration of the impact of past and likely future threats. This included the extent to which threatening processes had caused significant changes in species composition, loss or significant decline in species that play a major role within the ecosystem, a significant alteration to ecosystem processes and/or where significant threatening processes may reduce the extent of an EVC. The impact of future threatening processes was assessed through to 2069 (50-year horizon) using a mix of predictive modelling, spatial analysis and relevant academic literature. </w:t>
      </w:r>
    </w:p>
    <w:p w:rsidR="001743D6" w:rsidRPr="001743D6" w:rsidRDefault="001743D6" w:rsidP="001743D6">
      <w:pPr>
        <w:jc w:val="both"/>
        <w:rPr>
          <w:rFonts w:ascii="Segoe UI" w:hAnsi="Segoe UI" w:cs="Segoe UI"/>
        </w:rPr>
      </w:pPr>
      <w:r w:rsidRPr="001743D6">
        <w:rPr>
          <w:rFonts w:ascii="Segoe UI" w:hAnsi="Segoe UI" w:cs="Segoe UI"/>
        </w:rPr>
        <w:t xml:space="preserve">As at 1 December 2019, a total of 375 EVC RFA combinations (excluding mosaics, complexes, aggregates and other mapping units) were mapped across the five Victorian RFA regions: 50 in Central Highlands, 50 in East Gippsland, 93 in Gippsland, 55 in North East and 127 in West.  The conservation status of EVCs in each region is summarised in </w:t>
      </w:r>
      <w:r w:rsidRPr="001743D6">
        <w:rPr>
          <w:rFonts w:ascii="Segoe UI" w:hAnsi="Segoe UI" w:cs="Segoe UI"/>
        </w:rPr>
        <w:fldChar w:fldCharType="begin"/>
      </w:r>
      <w:r w:rsidRPr="001743D6">
        <w:rPr>
          <w:rFonts w:ascii="Segoe UI" w:hAnsi="Segoe UI" w:cs="Segoe UI"/>
        </w:rPr>
        <w:instrText xml:space="preserve"> REF _Ref30085299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Table </w:t>
      </w:r>
      <w:r w:rsidRPr="001743D6">
        <w:rPr>
          <w:rFonts w:ascii="Segoe UI" w:hAnsi="Segoe UI" w:cs="Segoe UI"/>
          <w:noProof/>
        </w:rPr>
        <w:t>28</w:t>
      </w:r>
      <w:r w:rsidRPr="001743D6">
        <w:rPr>
          <w:rFonts w:ascii="Segoe UI" w:hAnsi="Segoe UI" w:cs="Segoe UI"/>
        </w:rPr>
        <w:fldChar w:fldCharType="end"/>
      </w:r>
      <w:r w:rsidRPr="001743D6">
        <w:rPr>
          <w:rFonts w:ascii="Segoe UI" w:hAnsi="Segoe UI" w:cs="Segoe UI"/>
        </w:rPr>
        <w:t>.</w:t>
      </w:r>
    </w:p>
    <w:p w:rsidR="001743D6" w:rsidRPr="001743D6" w:rsidRDefault="001743D6" w:rsidP="001743D6">
      <w:pPr>
        <w:keepNext/>
        <w:spacing w:after="200" w:line="240" w:lineRule="auto"/>
        <w:rPr>
          <w:rFonts w:ascii="Segoe UI Semibold" w:eastAsia="Times New Roman" w:hAnsi="Segoe UI Semibold" w:cs="Times New Roman"/>
          <w:color w:val="016295"/>
        </w:rPr>
      </w:pPr>
      <w:bookmarkStart w:id="28" w:name="_Ref30085299"/>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28</w:t>
      </w:r>
      <w:r w:rsidRPr="001743D6">
        <w:rPr>
          <w:rFonts w:ascii="Segoe UI Semibold" w:eastAsia="Times New Roman" w:hAnsi="Segoe UI Semibold" w:cs="Times New Roman"/>
          <w:noProof/>
          <w:color w:val="016295"/>
        </w:rPr>
        <w:fldChar w:fldCharType="end"/>
      </w:r>
      <w:bookmarkEnd w:id="28"/>
      <w:r w:rsidRPr="001743D6">
        <w:rPr>
          <w:rFonts w:ascii="Segoe UI Semibold" w:eastAsia="Times New Roman" w:hAnsi="Segoe UI Semibold" w:cs="Times New Roman"/>
          <w:color w:val="016295"/>
        </w:rPr>
        <w:t>.Conservation status (JANIS 1997) of EVCs within each RFA region as at 2019</w:t>
      </w:r>
    </w:p>
    <w:tbl>
      <w:tblPr>
        <w:tblStyle w:val="dpitablestyle"/>
        <w:tblW w:w="0" w:type="auto"/>
        <w:tblLook w:val="04A0" w:firstRow="1" w:lastRow="0" w:firstColumn="1" w:lastColumn="0" w:noHBand="0" w:noVBand="1"/>
      </w:tblPr>
      <w:tblGrid>
        <w:gridCol w:w="1829"/>
        <w:gridCol w:w="1735"/>
        <w:gridCol w:w="1734"/>
        <w:gridCol w:w="1254"/>
        <w:gridCol w:w="1254"/>
        <w:gridCol w:w="1254"/>
      </w:tblGrid>
      <w:tr w:rsidR="001743D6" w:rsidRPr="001743D6" w:rsidTr="00D06FDE">
        <w:trPr>
          <w:cnfStyle w:val="100000000000" w:firstRow="1" w:lastRow="0" w:firstColumn="0" w:lastColumn="0" w:oddVBand="0" w:evenVBand="0" w:oddHBand="0" w:evenHBand="0" w:firstRowFirstColumn="0" w:firstRowLastColumn="0" w:lastRowFirstColumn="0" w:lastRowLastColumn="0"/>
        </w:trPr>
        <w:tc>
          <w:tcPr>
            <w:tcW w:w="1829" w:type="dxa"/>
          </w:tcPr>
          <w:p w:rsidR="001743D6" w:rsidRPr="001743D6" w:rsidRDefault="001743D6" w:rsidP="001743D6">
            <w:pPr>
              <w:rPr>
                <w:rFonts w:ascii="Segoe UI" w:hAnsi="Segoe UI" w:cs="Segoe UI"/>
              </w:rPr>
            </w:pPr>
            <w:r w:rsidRPr="001743D6">
              <w:rPr>
                <w:rFonts w:ascii="Segoe UI" w:hAnsi="Segoe UI" w:cs="Segoe UI"/>
              </w:rPr>
              <w:t>EVC Conservation Status</w:t>
            </w:r>
          </w:p>
        </w:tc>
        <w:tc>
          <w:tcPr>
            <w:tcW w:w="1735" w:type="dxa"/>
          </w:tcPr>
          <w:p w:rsidR="001743D6" w:rsidRPr="001743D6" w:rsidRDefault="001743D6" w:rsidP="001743D6">
            <w:pPr>
              <w:rPr>
                <w:rFonts w:ascii="Segoe UI" w:hAnsi="Segoe UI" w:cs="Segoe UI"/>
              </w:rPr>
            </w:pPr>
            <w:r w:rsidRPr="001743D6">
              <w:rPr>
                <w:rFonts w:ascii="Segoe UI" w:hAnsi="Segoe UI" w:cs="Segoe UI"/>
              </w:rPr>
              <w:t>Central Highlands</w:t>
            </w:r>
          </w:p>
        </w:tc>
        <w:tc>
          <w:tcPr>
            <w:tcW w:w="1734" w:type="dxa"/>
          </w:tcPr>
          <w:p w:rsidR="001743D6" w:rsidRPr="001743D6" w:rsidRDefault="001743D6" w:rsidP="001743D6">
            <w:pPr>
              <w:rPr>
                <w:rFonts w:ascii="Segoe UI" w:hAnsi="Segoe UI" w:cs="Segoe UI"/>
              </w:rPr>
            </w:pPr>
            <w:r w:rsidRPr="001743D6">
              <w:rPr>
                <w:rFonts w:ascii="Segoe UI" w:hAnsi="Segoe UI" w:cs="Segoe UI"/>
              </w:rPr>
              <w:t>East Gippsland</w:t>
            </w:r>
          </w:p>
        </w:tc>
        <w:tc>
          <w:tcPr>
            <w:tcW w:w="1254" w:type="dxa"/>
          </w:tcPr>
          <w:p w:rsidR="001743D6" w:rsidRPr="001743D6" w:rsidRDefault="001743D6" w:rsidP="001743D6">
            <w:pPr>
              <w:rPr>
                <w:rFonts w:ascii="Segoe UI" w:hAnsi="Segoe UI" w:cs="Segoe UI"/>
              </w:rPr>
            </w:pPr>
            <w:r w:rsidRPr="001743D6">
              <w:rPr>
                <w:rFonts w:ascii="Segoe UI" w:hAnsi="Segoe UI" w:cs="Segoe UI"/>
              </w:rPr>
              <w:t>Gippsland</w:t>
            </w:r>
          </w:p>
        </w:tc>
        <w:tc>
          <w:tcPr>
            <w:tcW w:w="1254" w:type="dxa"/>
          </w:tcPr>
          <w:p w:rsidR="001743D6" w:rsidRPr="001743D6" w:rsidRDefault="001743D6" w:rsidP="001743D6">
            <w:pPr>
              <w:rPr>
                <w:rFonts w:ascii="Segoe UI" w:hAnsi="Segoe UI" w:cs="Segoe UI"/>
              </w:rPr>
            </w:pPr>
            <w:r w:rsidRPr="001743D6">
              <w:rPr>
                <w:rFonts w:ascii="Segoe UI" w:hAnsi="Segoe UI" w:cs="Segoe UI"/>
              </w:rPr>
              <w:t>North East</w:t>
            </w:r>
          </w:p>
        </w:tc>
        <w:tc>
          <w:tcPr>
            <w:tcW w:w="1254" w:type="dxa"/>
          </w:tcPr>
          <w:p w:rsidR="001743D6" w:rsidRPr="001743D6" w:rsidRDefault="001743D6" w:rsidP="001743D6">
            <w:pPr>
              <w:rPr>
                <w:rFonts w:ascii="Segoe UI" w:hAnsi="Segoe UI" w:cs="Segoe UI"/>
              </w:rPr>
            </w:pPr>
            <w:r w:rsidRPr="001743D6">
              <w:rPr>
                <w:rFonts w:ascii="Segoe UI" w:hAnsi="Segoe UI" w:cs="Segoe UI"/>
              </w:rPr>
              <w:t xml:space="preserve">West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Pr>
        <w:tc>
          <w:tcPr>
            <w:tcW w:w="1829" w:type="dxa"/>
          </w:tcPr>
          <w:p w:rsidR="001743D6" w:rsidRPr="001743D6" w:rsidRDefault="001743D6" w:rsidP="001743D6">
            <w:pPr>
              <w:rPr>
                <w:rFonts w:ascii="Segoe UI" w:hAnsi="Segoe UI" w:cs="Segoe UI"/>
              </w:rPr>
            </w:pPr>
            <w:r w:rsidRPr="001743D6">
              <w:rPr>
                <w:rFonts w:ascii="Segoe UI" w:hAnsi="Segoe UI" w:cs="Segoe UI"/>
              </w:rPr>
              <w:t xml:space="preserve">No Status </w:t>
            </w:r>
          </w:p>
        </w:tc>
        <w:tc>
          <w:tcPr>
            <w:tcW w:w="1735" w:type="dxa"/>
          </w:tcPr>
          <w:p w:rsidR="001743D6" w:rsidRPr="001743D6" w:rsidRDefault="001743D6" w:rsidP="001743D6">
            <w:pPr>
              <w:rPr>
                <w:rFonts w:ascii="Segoe UI" w:hAnsi="Segoe UI" w:cs="Segoe UI"/>
              </w:rPr>
            </w:pPr>
            <w:r w:rsidRPr="001743D6">
              <w:rPr>
                <w:rFonts w:ascii="Segoe UI" w:hAnsi="Segoe UI" w:cs="Segoe UI"/>
              </w:rPr>
              <w:t>2</w:t>
            </w:r>
          </w:p>
        </w:tc>
        <w:tc>
          <w:tcPr>
            <w:tcW w:w="1734" w:type="dxa"/>
          </w:tcPr>
          <w:p w:rsidR="001743D6" w:rsidRPr="001743D6" w:rsidRDefault="001743D6" w:rsidP="001743D6">
            <w:pPr>
              <w:rPr>
                <w:rFonts w:ascii="Segoe UI" w:hAnsi="Segoe UI" w:cs="Segoe UI"/>
              </w:rPr>
            </w:pPr>
            <w:r w:rsidRPr="001743D6">
              <w:rPr>
                <w:rFonts w:ascii="Segoe UI" w:hAnsi="Segoe UI" w:cs="Segoe UI"/>
              </w:rPr>
              <w:t>6</w:t>
            </w:r>
          </w:p>
        </w:tc>
        <w:tc>
          <w:tcPr>
            <w:tcW w:w="1254" w:type="dxa"/>
          </w:tcPr>
          <w:p w:rsidR="001743D6" w:rsidRPr="001743D6" w:rsidRDefault="001743D6" w:rsidP="001743D6">
            <w:pPr>
              <w:rPr>
                <w:rFonts w:ascii="Segoe UI" w:hAnsi="Segoe UI" w:cs="Segoe UI"/>
              </w:rPr>
            </w:pPr>
            <w:r w:rsidRPr="001743D6">
              <w:rPr>
                <w:rFonts w:ascii="Segoe UI" w:hAnsi="Segoe UI" w:cs="Segoe UI"/>
              </w:rPr>
              <w:t>10</w:t>
            </w:r>
          </w:p>
        </w:tc>
        <w:tc>
          <w:tcPr>
            <w:tcW w:w="1254" w:type="dxa"/>
          </w:tcPr>
          <w:p w:rsidR="001743D6" w:rsidRPr="001743D6" w:rsidRDefault="001743D6" w:rsidP="001743D6">
            <w:pPr>
              <w:rPr>
                <w:rFonts w:ascii="Segoe UI" w:hAnsi="Segoe UI" w:cs="Segoe UI"/>
              </w:rPr>
            </w:pPr>
            <w:r w:rsidRPr="001743D6">
              <w:rPr>
                <w:rFonts w:ascii="Segoe UI" w:hAnsi="Segoe UI" w:cs="Segoe UI"/>
              </w:rPr>
              <w:t>4</w:t>
            </w:r>
          </w:p>
        </w:tc>
        <w:tc>
          <w:tcPr>
            <w:tcW w:w="1254" w:type="dxa"/>
          </w:tcPr>
          <w:p w:rsidR="001743D6" w:rsidRPr="001743D6" w:rsidRDefault="001743D6" w:rsidP="001743D6">
            <w:pPr>
              <w:rPr>
                <w:rFonts w:ascii="Segoe UI" w:hAnsi="Segoe UI" w:cs="Segoe UI"/>
              </w:rPr>
            </w:pPr>
            <w:r w:rsidRPr="001743D6">
              <w:rPr>
                <w:rFonts w:ascii="Segoe UI" w:hAnsi="Segoe UI" w:cs="Segoe UI"/>
              </w:rPr>
              <w:t>8</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Pr>
        <w:tc>
          <w:tcPr>
            <w:tcW w:w="1829" w:type="dxa"/>
          </w:tcPr>
          <w:p w:rsidR="001743D6" w:rsidRPr="001743D6" w:rsidRDefault="001743D6" w:rsidP="001743D6">
            <w:pPr>
              <w:rPr>
                <w:rFonts w:ascii="Segoe UI" w:hAnsi="Segoe UI" w:cs="Segoe UI"/>
              </w:rPr>
            </w:pPr>
            <w:r w:rsidRPr="001743D6">
              <w:rPr>
                <w:rFonts w:ascii="Segoe UI" w:hAnsi="Segoe UI" w:cs="Segoe UI"/>
              </w:rPr>
              <w:t>Vulnerable</w:t>
            </w:r>
          </w:p>
        </w:tc>
        <w:tc>
          <w:tcPr>
            <w:tcW w:w="1735" w:type="dxa"/>
          </w:tcPr>
          <w:p w:rsidR="001743D6" w:rsidRPr="001743D6" w:rsidRDefault="001743D6" w:rsidP="001743D6">
            <w:pPr>
              <w:rPr>
                <w:rFonts w:ascii="Segoe UI" w:hAnsi="Segoe UI" w:cs="Segoe UI"/>
              </w:rPr>
            </w:pPr>
            <w:r w:rsidRPr="001743D6">
              <w:rPr>
                <w:rFonts w:ascii="Segoe UI" w:hAnsi="Segoe UI" w:cs="Segoe UI"/>
              </w:rPr>
              <w:t>35</w:t>
            </w:r>
          </w:p>
        </w:tc>
        <w:tc>
          <w:tcPr>
            <w:tcW w:w="1734" w:type="dxa"/>
          </w:tcPr>
          <w:p w:rsidR="001743D6" w:rsidRPr="001743D6" w:rsidRDefault="001743D6" w:rsidP="001743D6">
            <w:pPr>
              <w:rPr>
                <w:rFonts w:ascii="Segoe UI" w:hAnsi="Segoe UI" w:cs="Segoe UI"/>
              </w:rPr>
            </w:pPr>
            <w:r w:rsidRPr="001743D6">
              <w:rPr>
                <w:rFonts w:ascii="Segoe UI" w:hAnsi="Segoe UI" w:cs="Segoe UI"/>
              </w:rPr>
              <w:t>29</w:t>
            </w:r>
          </w:p>
        </w:tc>
        <w:tc>
          <w:tcPr>
            <w:tcW w:w="1254" w:type="dxa"/>
          </w:tcPr>
          <w:p w:rsidR="001743D6" w:rsidRPr="001743D6" w:rsidRDefault="001743D6" w:rsidP="001743D6">
            <w:pPr>
              <w:rPr>
                <w:rFonts w:ascii="Segoe UI" w:hAnsi="Segoe UI" w:cs="Segoe UI"/>
              </w:rPr>
            </w:pPr>
            <w:r w:rsidRPr="001743D6">
              <w:rPr>
                <w:rFonts w:ascii="Segoe UI" w:hAnsi="Segoe UI" w:cs="Segoe UI"/>
              </w:rPr>
              <w:t>58</w:t>
            </w:r>
          </w:p>
        </w:tc>
        <w:tc>
          <w:tcPr>
            <w:tcW w:w="1254" w:type="dxa"/>
          </w:tcPr>
          <w:p w:rsidR="001743D6" w:rsidRPr="001743D6" w:rsidRDefault="001743D6" w:rsidP="001743D6">
            <w:pPr>
              <w:rPr>
                <w:rFonts w:ascii="Segoe UI" w:hAnsi="Segoe UI" w:cs="Segoe UI"/>
              </w:rPr>
            </w:pPr>
            <w:r w:rsidRPr="001743D6">
              <w:rPr>
                <w:rFonts w:ascii="Segoe UI" w:hAnsi="Segoe UI" w:cs="Segoe UI"/>
              </w:rPr>
              <w:t>34</w:t>
            </w:r>
          </w:p>
        </w:tc>
        <w:tc>
          <w:tcPr>
            <w:tcW w:w="1254" w:type="dxa"/>
          </w:tcPr>
          <w:p w:rsidR="001743D6" w:rsidRPr="001743D6" w:rsidRDefault="001743D6" w:rsidP="001743D6">
            <w:pPr>
              <w:rPr>
                <w:rFonts w:ascii="Segoe UI" w:hAnsi="Segoe UI" w:cs="Segoe UI"/>
              </w:rPr>
            </w:pPr>
            <w:r w:rsidRPr="001743D6">
              <w:rPr>
                <w:rFonts w:ascii="Segoe UI" w:hAnsi="Segoe UI" w:cs="Segoe UI"/>
              </w:rPr>
              <w:t>69</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Pr>
        <w:tc>
          <w:tcPr>
            <w:tcW w:w="1829" w:type="dxa"/>
          </w:tcPr>
          <w:p w:rsidR="001743D6" w:rsidRPr="001743D6" w:rsidRDefault="001743D6" w:rsidP="001743D6">
            <w:pPr>
              <w:rPr>
                <w:rFonts w:ascii="Segoe UI" w:hAnsi="Segoe UI" w:cs="Segoe UI"/>
              </w:rPr>
            </w:pPr>
            <w:r w:rsidRPr="001743D6">
              <w:rPr>
                <w:rFonts w:ascii="Segoe UI" w:hAnsi="Segoe UI" w:cs="Segoe UI"/>
              </w:rPr>
              <w:t>Rare</w:t>
            </w:r>
          </w:p>
        </w:tc>
        <w:tc>
          <w:tcPr>
            <w:tcW w:w="1735" w:type="dxa"/>
          </w:tcPr>
          <w:p w:rsidR="001743D6" w:rsidRPr="001743D6" w:rsidRDefault="001743D6" w:rsidP="001743D6">
            <w:pPr>
              <w:rPr>
                <w:rFonts w:ascii="Segoe UI" w:hAnsi="Segoe UI" w:cs="Segoe UI"/>
              </w:rPr>
            </w:pPr>
            <w:r w:rsidRPr="001743D6">
              <w:rPr>
                <w:rFonts w:ascii="Segoe UI" w:hAnsi="Segoe UI" w:cs="Segoe UI"/>
              </w:rPr>
              <w:t>7</w:t>
            </w:r>
          </w:p>
        </w:tc>
        <w:tc>
          <w:tcPr>
            <w:tcW w:w="1734" w:type="dxa"/>
          </w:tcPr>
          <w:p w:rsidR="001743D6" w:rsidRPr="001743D6" w:rsidRDefault="001743D6" w:rsidP="001743D6">
            <w:pPr>
              <w:rPr>
                <w:rFonts w:ascii="Segoe UI" w:hAnsi="Segoe UI" w:cs="Segoe UI"/>
              </w:rPr>
            </w:pPr>
            <w:r w:rsidRPr="001743D6">
              <w:rPr>
                <w:rFonts w:ascii="Segoe UI" w:hAnsi="Segoe UI" w:cs="Segoe UI"/>
              </w:rPr>
              <w:t>9</w:t>
            </w:r>
          </w:p>
        </w:tc>
        <w:tc>
          <w:tcPr>
            <w:tcW w:w="1254" w:type="dxa"/>
          </w:tcPr>
          <w:p w:rsidR="001743D6" w:rsidRPr="001743D6" w:rsidRDefault="001743D6" w:rsidP="001743D6">
            <w:pPr>
              <w:rPr>
                <w:rFonts w:ascii="Segoe UI" w:hAnsi="Segoe UI" w:cs="Segoe UI"/>
              </w:rPr>
            </w:pPr>
            <w:r w:rsidRPr="001743D6">
              <w:rPr>
                <w:rFonts w:ascii="Segoe UI" w:hAnsi="Segoe UI" w:cs="Segoe UI"/>
              </w:rPr>
              <w:t>14</w:t>
            </w:r>
          </w:p>
        </w:tc>
        <w:tc>
          <w:tcPr>
            <w:tcW w:w="1254" w:type="dxa"/>
          </w:tcPr>
          <w:p w:rsidR="001743D6" w:rsidRPr="001743D6" w:rsidRDefault="001743D6" w:rsidP="001743D6">
            <w:pPr>
              <w:rPr>
                <w:rFonts w:ascii="Segoe UI" w:hAnsi="Segoe UI" w:cs="Segoe UI"/>
              </w:rPr>
            </w:pPr>
            <w:r w:rsidRPr="001743D6">
              <w:rPr>
                <w:rFonts w:ascii="Segoe UI" w:hAnsi="Segoe UI" w:cs="Segoe UI"/>
              </w:rPr>
              <w:t>7</w:t>
            </w:r>
          </w:p>
        </w:tc>
        <w:tc>
          <w:tcPr>
            <w:tcW w:w="1254" w:type="dxa"/>
          </w:tcPr>
          <w:p w:rsidR="001743D6" w:rsidRPr="001743D6" w:rsidRDefault="001743D6" w:rsidP="001743D6">
            <w:pPr>
              <w:rPr>
                <w:rFonts w:ascii="Segoe UI" w:hAnsi="Segoe UI" w:cs="Segoe UI"/>
              </w:rPr>
            </w:pPr>
            <w:r w:rsidRPr="001743D6">
              <w:rPr>
                <w:rFonts w:ascii="Segoe UI" w:hAnsi="Segoe UI" w:cs="Segoe UI"/>
              </w:rPr>
              <w:t>37</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Pr>
        <w:tc>
          <w:tcPr>
            <w:tcW w:w="1829" w:type="dxa"/>
          </w:tcPr>
          <w:p w:rsidR="001743D6" w:rsidRPr="001743D6" w:rsidRDefault="001743D6" w:rsidP="001743D6">
            <w:pPr>
              <w:rPr>
                <w:rFonts w:ascii="Segoe UI" w:hAnsi="Segoe UI" w:cs="Segoe UI"/>
              </w:rPr>
            </w:pPr>
            <w:r w:rsidRPr="001743D6">
              <w:rPr>
                <w:rFonts w:ascii="Segoe UI" w:hAnsi="Segoe UI" w:cs="Segoe UI"/>
              </w:rPr>
              <w:t xml:space="preserve">Endangered </w:t>
            </w:r>
          </w:p>
        </w:tc>
        <w:tc>
          <w:tcPr>
            <w:tcW w:w="1735" w:type="dxa"/>
          </w:tcPr>
          <w:p w:rsidR="001743D6" w:rsidRPr="001743D6" w:rsidRDefault="001743D6" w:rsidP="001743D6">
            <w:pPr>
              <w:rPr>
                <w:rFonts w:ascii="Segoe UI" w:hAnsi="Segoe UI" w:cs="Segoe UI"/>
              </w:rPr>
            </w:pPr>
            <w:r w:rsidRPr="001743D6">
              <w:rPr>
                <w:rFonts w:ascii="Segoe UI" w:hAnsi="Segoe UI" w:cs="Segoe UI"/>
              </w:rPr>
              <w:t>6</w:t>
            </w:r>
          </w:p>
        </w:tc>
        <w:tc>
          <w:tcPr>
            <w:tcW w:w="1734" w:type="dxa"/>
          </w:tcPr>
          <w:p w:rsidR="001743D6" w:rsidRPr="001743D6" w:rsidRDefault="001743D6" w:rsidP="001743D6">
            <w:pPr>
              <w:rPr>
                <w:rFonts w:ascii="Segoe UI" w:hAnsi="Segoe UI" w:cs="Segoe UI"/>
              </w:rPr>
            </w:pPr>
            <w:r w:rsidRPr="001743D6">
              <w:rPr>
                <w:rFonts w:ascii="Segoe UI" w:hAnsi="Segoe UI" w:cs="Segoe UI"/>
              </w:rPr>
              <w:t>6</w:t>
            </w:r>
          </w:p>
        </w:tc>
        <w:tc>
          <w:tcPr>
            <w:tcW w:w="1254" w:type="dxa"/>
          </w:tcPr>
          <w:p w:rsidR="001743D6" w:rsidRPr="001743D6" w:rsidRDefault="001743D6" w:rsidP="001743D6">
            <w:pPr>
              <w:rPr>
                <w:rFonts w:ascii="Segoe UI" w:hAnsi="Segoe UI" w:cs="Segoe UI"/>
              </w:rPr>
            </w:pPr>
            <w:r w:rsidRPr="001743D6">
              <w:rPr>
                <w:rFonts w:ascii="Segoe UI" w:hAnsi="Segoe UI" w:cs="Segoe UI"/>
              </w:rPr>
              <w:t>11</w:t>
            </w:r>
          </w:p>
        </w:tc>
        <w:tc>
          <w:tcPr>
            <w:tcW w:w="1254" w:type="dxa"/>
          </w:tcPr>
          <w:p w:rsidR="001743D6" w:rsidRPr="001743D6" w:rsidRDefault="001743D6" w:rsidP="001743D6">
            <w:pPr>
              <w:rPr>
                <w:rFonts w:ascii="Segoe UI" w:hAnsi="Segoe UI" w:cs="Segoe UI"/>
              </w:rPr>
            </w:pPr>
            <w:r w:rsidRPr="001743D6">
              <w:rPr>
                <w:rFonts w:ascii="Segoe UI" w:hAnsi="Segoe UI" w:cs="Segoe UI"/>
              </w:rPr>
              <w:t>10</w:t>
            </w:r>
          </w:p>
        </w:tc>
        <w:tc>
          <w:tcPr>
            <w:tcW w:w="1254" w:type="dxa"/>
          </w:tcPr>
          <w:p w:rsidR="001743D6" w:rsidRPr="001743D6" w:rsidRDefault="001743D6" w:rsidP="001743D6">
            <w:pPr>
              <w:rPr>
                <w:rFonts w:ascii="Segoe UI" w:hAnsi="Segoe UI" w:cs="Segoe UI"/>
              </w:rPr>
            </w:pPr>
            <w:r w:rsidRPr="001743D6">
              <w:rPr>
                <w:rFonts w:ascii="Segoe UI" w:hAnsi="Segoe UI" w:cs="Segoe UI"/>
              </w:rPr>
              <w:t>13</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Pr>
        <w:tc>
          <w:tcPr>
            <w:tcW w:w="1829" w:type="dxa"/>
          </w:tcPr>
          <w:p w:rsidR="001743D6" w:rsidRPr="001743D6" w:rsidRDefault="001743D6" w:rsidP="001743D6">
            <w:pPr>
              <w:rPr>
                <w:rFonts w:ascii="Segoe UI" w:hAnsi="Segoe UI" w:cs="Segoe UI"/>
              </w:rPr>
            </w:pPr>
            <w:r w:rsidRPr="001743D6">
              <w:rPr>
                <w:rFonts w:ascii="Segoe UI" w:hAnsi="Segoe UI" w:cs="Segoe UI"/>
              </w:rPr>
              <w:t xml:space="preserve">Total </w:t>
            </w:r>
          </w:p>
        </w:tc>
        <w:tc>
          <w:tcPr>
            <w:tcW w:w="1735" w:type="dxa"/>
          </w:tcPr>
          <w:p w:rsidR="001743D6" w:rsidRPr="001743D6" w:rsidRDefault="001743D6" w:rsidP="001743D6">
            <w:pPr>
              <w:rPr>
                <w:rFonts w:ascii="Segoe UI" w:hAnsi="Segoe UI" w:cs="Segoe UI"/>
              </w:rPr>
            </w:pPr>
            <w:r w:rsidRPr="001743D6">
              <w:rPr>
                <w:rFonts w:ascii="Segoe UI" w:hAnsi="Segoe UI" w:cs="Segoe UI"/>
              </w:rPr>
              <w:t>50</w:t>
            </w:r>
          </w:p>
        </w:tc>
        <w:tc>
          <w:tcPr>
            <w:tcW w:w="1734" w:type="dxa"/>
          </w:tcPr>
          <w:p w:rsidR="001743D6" w:rsidRPr="001743D6" w:rsidRDefault="001743D6" w:rsidP="001743D6">
            <w:pPr>
              <w:rPr>
                <w:rFonts w:ascii="Segoe UI" w:hAnsi="Segoe UI" w:cs="Segoe UI"/>
              </w:rPr>
            </w:pPr>
            <w:r w:rsidRPr="001743D6">
              <w:rPr>
                <w:rFonts w:ascii="Segoe UI" w:hAnsi="Segoe UI" w:cs="Segoe UI"/>
              </w:rPr>
              <w:t>50</w:t>
            </w:r>
          </w:p>
        </w:tc>
        <w:tc>
          <w:tcPr>
            <w:tcW w:w="1254" w:type="dxa"/>
          </w:tcPr>
          <w:p w:rsidR="001743D6" w:rsidRPr="001743D6" w:rsidRDefault="001743D6" w:rsidP="001743D6">
            <w:pPr>
              <w:rPr>
                <w:rFonts w:ascii="Segoe UI" w:hAnsi="Segoe UI" w:cs="Segoe UI"/>
              </w:rPr>
            </w:pPr>
            <w:r w:rsidRPr="001743D6">
              <w:rPr>
                <w:rFonts w:ascii="Segoe UI" w:hAnsi="Segoe UI" w:cs="Segoe UI"/>
              </w:rPr>
              <w:t>93</w:t>
            </w:r>
          </w:p>
        </w:tc>
        <w:tc>
          <w:tcPr>
            <w:tcW w:w="1254" w:type="dxa"/>
          </w:tcPr>
          <w:p w:rsidR="001743D6" w:rsidRPr="001743D6" w:rsidRDefault="001743D6" w:rsidP="001743D6">
            <w:pPr>
              <w:rPr>
                <w:rFonts w:ascii="Segoe UI" w:hAnsi="Segoe UI" w:cs="Segoe UI"/>
              </w:rPr>
            </w:pPr>
            <w:r w:rsidRPr="001743D6">
              <w:rPr>
                <w:rFonts w:ascii="Segoe UI" w:hAnsi="Segoe UI" w:cs="Segoe UI"/>
              </w:rPr>
              <w:t>55</w:t>
            </w:r>
          </w:p>
        </w:tc>
        <w:tc>
          <w:tcPr>
            <w:tcW w:w="1254" w:type="dxa"/>
          </w:tcPr>
          <w:p w:rsidR="001743D6" w:rsidRPr="001743D6" w:rsidRDefault="001743D6" w:rsidP="001743D6">
            <w:pPr>
              <w:rPr>
                <w:rFonts w:ascii="Segoe UI" w:hAnsi="Segoe UI" w:cs="Segoe UI"/>
              </w:rPr>
            </w:pPr>
            <w:r w:rsidRPr="001743D6">
              <w:rPr>
                <w:rFonts w:ascii="Segoe UI" w:hAnsi="Segoe UI" w:cs="Segoe UI"/>
              </w:rPr>
              <w:t>127</w:t>
            </w:r>
          </w:p>
        </w:tc>
      </w:tr>
    </w:tbl>
    <w:p w:rsidR="001743D6" w:rsidRPr="001743D6" w:rsidRDefault="001743D6" w:rsidP="001743D6">
      <w:pPr>
        <w:rPr>
          <w:rFonts w:ascii="Segoe UI" w:hAnsi="Segoe UI" w:cs="Segoe UI"/>
        </w:rPr>
      </w:pPr>
    </w:p>
    <w:p w:rsidR="001743D6" w:rsidRPr="001743D6" w:rsidRDefault="001743D6" w:rsidP="001743D6">
      <w:pPr>
        <w:jc w:val="both"/>
        <w:rPr>
          <w:rFonts w:ascii="Segoe UI" w:hAnsi="Segoe UI" w:cs="Segoe UI"/>
        </w:rPr>
      </w:pPr>
      <w:r w:rsidRPr="001743D6">
        <w:rPr>
          <w:rFonts w:ascii="Segoe UI" w:hAnsi="Segoe UI" w:cs="Segoe UI"/>
        </w:rPr>
        <w:t xml:space="preserve">In comparison to the CRA process 20 years ago, substantially more EVCs have been assigned a conservation status in 2019 using the JANIS (1997) criteria. For many Vulnerable EVCs, the combined impacts of climate change, altered fire regimes, impacts of deer browsing, and for some forest EVCs – ongoing timber-harvesting – means that criterion V3 (“Not depleted but subject to continuing threatening processes which may reduce its extent”) has been triggered even if these EVCs are relatively common and not currently depleted. </w:t>
      </w:r>
    </w:p>
    <w:p w:rsidR="001743D6" w:rsidRPr="001743D6" w:rsidRDefault="001743D6" w:rsidP="001743D6">
      <w:pPr>
        <w:jc w:val="both"/>
        <w:rPr>
          <w:rFonts w:ascii="Segoe UI" w:hAnsi="Segoe UI" w:cs="Segoe UI"/>
        </w:rPr>
      </w:pPr>
      <w:r w:rsidRPr="001743D6">
        <w:rPr>
          <w:rFonts w:ascii="Segoe UI" w:hAnsi="Segoe UI" w:cs="Segoe UI"/>
        </w:rPr>
        <w:t xml:space="preserve">Over the life of the current RFAs, many threatening processes have continued or accelerated.  The Gippsland Biodiversity Assessment report for the CRA (Commonwealth of Australia, 1999) noted at the time that several relatively widespread EVCs are subject to a variety of threatening processes but were not judged at that time to be impacted to a sufficiently significant degree (i.e. in extent and/or severity) to be considered endangered, vulnerable or rare in accordance with the JANIS criteria. For example, EVCs with heathy understoreys (Heathy Dry Forest, Heathy Woodland, Granitic Hills Woodland) are particularly sensitive to altered fire regimes and the resultant reduced diversity is commonly identified across the region. The understorey composition of mountain forest EVCs (Damp Forest, Wet Forest, Montane Wet Forest, Shrubby Damp Forest, Shrubby Wet Forest), particularly old individuals of some prominent understorey species (e.g. tree ferns), is significantly impacted by mechanical disturbance associated with timber harvesting.  Open fertile EVCs (Montane Grassy Woodland, Sub-alpine Grassland) are favoured for grazing and are relatively more prone to weed invasion. The conservation status of these EVCs at that time was analogous to the “near threatened” category that is applied to some species. </w:t>
      </w:r>
    </w:p>
    <w:p w:rsidR="001743D6" w:rsidRPr="001743D6" w:rsidRDefault="001743D6" w:rsidP="001743D6">
      <w:pPr>
        <w:jc w:val="both"/>
        <w:rPr>
          <w:rFonts w:ascii="Segoe UI" w:hAnsi="Segoe UI" w:cs="Segoe UI"/>
        </w:rPr>
      </w:pPr>
      <w:r w:rsidRPr="001743D6">
        <w:rPr>
          <w:rFonts w:ascii="Segoe UI" w:hAnsi="Segoe UI" w:cs="Segoe UI"/>
        </w:rPr>
        <w:t xml:space="preserve">Following the reassessment conducted in 2019, a number of these EVCs are now judged as Vulnerable. </w:t>
      </w:r>
    </w:p>
    <w:p w:rsidR="001743D6" w:rsidRPr="001743D6" w:rsidRDefault="001743D6" w:rsidP="001743D6">
      <w:pPr>
        <w:jc w:val="both"/>
        <w:rPr>
          <w:rFonts w:ascii="Segoe UI" w:hAnsi="Segoe UI" w:cs="Segoe UI"/>
        </w:rPr>
      </w:pPr>
      <w:r w:rsidRPr="001743D6">
        <w:rPr>
          <w:rFonts w:ascii="Segoe UI" w:hAnsi="Segoe UI" w:cs="Segoe UI"/>
        </w:rPr>
        <w:t xml:space="preserve">Stabilising the status of these EVCs relies on a range of management strategies aimed at minimising long-term impacts and is achieved through the CAR Reserve System and complementary active management strategies. Management mechanisms currently available to address the threatening processes listed above includes (but is not limited to): Victorian Government on-ground programs for biodiversity (e.g. weed control), private land conservation mechanisms, regulatory mechanisms (e.g. Code of Practice for Timber Production, Code of Practice for Bushfire Management on Public Land and native vegetation removal regulations). </w:t>
      </w:r>
    </w:p>
    <w:p w:rsidR="001743D6" w:rsidRPr="001743D6" w:rsidRDefault="001743D6" w:rsidP="001743D6">
      <w:pPr>
        <w:keepNext/>
        <w:keepLines/>
        <w:spacing w:before="40" w:after="40"/>
        <w:outlineLvl w:val="4"/>
        <w:rPr>
          <w:rFonts w:ascii="Segoe UI" w:eastAsia="STZhongsong" w:hAnsi="Segoe UI" w:cs="Majalla UI"/>
          <w:i/>
          <w:color w:val="13345C"/>
        </w:rPr>
      </w:pPr>
      <w:r w:rsidRPr="001743D6">
        <w:rPr>
          <w:rFonts w:ascii="Segoe UI" w:eastAsia="STZhongsong" w:hAnsi="Segoe UI" w:cs="Majalla UI"/>
          <w:i/>
          <w:color w:val="13345C"/>
        </w:rPr>
        <w:t xml:space="preserve">Analysis of forest and non-forest ecosystems by land tenure, including reservation and depletion analysis </w:t>
      </w:r>
    </w:p>
    <w:p w:rsidR="001743D6" w:rsidRPr="001743D6" w:rsidRDefault="001743D6" w:rsidP="001743D6">
      <w:pPr>
        <w:jc w:val="both"/>
        <w:rPr>
          <w:rFonts w:ascii="Segoe UI" w:hAnsi="Segoe UI" w:cs="Segoe UI"/>
        </w:rPr>
      </w:pPr>
      <w:r w:rsidRPr="001743D6">
        <w:rPr>
          <w:rFonts w:ascii="Segoe UI" w:hAnsi="Segoe UI" w:cs="Segoe UI"/>
        </w:rPr>
        <w:t xml:space="preserve">A reserve system that is comprehensive, adequate and representative in its regional coverage of forest ecosystems is an important component of RFAs. The extent of representation of EVCs in conservation reserves has been used as the basis for evaluating the current reservation status of forest ecosystems in the region and subsequent analysis against the JANIS criteria as required under the RFAs. </w:t>
      </w:r>
    </w:p>
    <w:p w:rsidR="001743D6" w:rsidRPr="001743D6" w:rsidRDefault="001743D6" w:rsidP="001743D6">
      <w:pPr>
        <w:jc w:val="both"/>
        <w:rPr>
          <w:rFonts w:ascii="Segoe UI" w:hAnsi="Segoe UI" w:cs="Segoe UI"/>
        </w:rPr>
      </w:pPr>
      <w:r w:rsidRPr="001743D6">
        <w:rPr>
          <w:rFonts w:ascii="Segoe UI" w:hAnsi="Segoe UI" w:cs="Segoe UI"/>
        </w:rPr>
        <w:t>As a general criterion, 15 per cent of the pre-1750 extent of each forest ecosystem should be protected in the CAR reserve system with flexibility considerations applied according to regional circumstances, and recognising that as far as possible and practicable, the proportion of Dedicated Reserves should be maximised.</w:t>
      </w:r>
    </w:p>
    <w:p w:rsidR="001743D6" w:rsidRPr="001743D6" w:rsidRDefault="001743D6" w:rsidP="001743D6">
      <w:pPr>
        <w:jc w:val="both"/>
        <w:rPr>
          <w:rFonts w:ascii="Segoe UI" w:hAnsi="Segoe UI" w:cs="Segoe UI"/>
          <w:lang w:eastAsia="ja-JP"/>
        </w:rPr>
      </w:pPr>
      <w:r w:rsidRPr="001743D6">
        <w:rPr>
          <w:rFonts w:ascii="Segoe UI" w:hAnsi="Segoe UI" w:cs="Segoe UI"/>
          <w:lang w:eastAsia="ja-JP"/>
        </w:rPr>
        <w:t>The conservation status assessment is relevant to JANIS (1997) Criteria 2 and 3 which specify reservation objectives for EVCs classified as endangered, vulnerable</w:t>
      </w:r>
      <w:r w:rsidRPr="001743D6">
        <w:rPr>
          <w:rFonts w:ascii="Segoe UI" w:hAnsi="Segoe UI" w:cs="Segoe UI"/>
        </w:rPr>
        <w:t xml:space="preserve"> </w:t>
      </w:r>
      <w:r w:rsidRPr="001743D6">
        <w:rPr>
          <w:rFonts w:ascii="Segoe UI" w:hAnsi="Segoe UI" w:cs="Segoe UI"/>
          <w:lang w:eastAsia="ja-JP"/>
        </w:rPr>
        <w:t xml:space="preserve">or rare which include:  all remaining occurrences of rare and endangered EVCs should be reserved or protected by other means as far as is practicable, and at least 60 per cent of the remaining extent of vulnerable EVCs should be reserved. </w:t>
      </w:r>
    </w:p>
    <w:p w:rsidR="001743D6" w:rsidRPr="001743D6" w:rsidRDefault="001743D6" w:rsidP="001743D6">
      <w:pPr>
        <w:jc w:val="both"/>
        <w:rPr>
          <w:rFonts w:ascii="Segoe UI" w:hAnsi="Segoe UI" w:cs="Segoe UI"/>
          <w:lang w:eastAsia="ja-JP"/>
        </w:rPr>
      </w:pPr>
      <w:r w:rsidRPr="001743D6">
        <w:rPr>
          <w:rFonts w:ascii="Segoe UI" w:hAnsi="Segoe UI" w:cs="Segoe UI"/>
          <w:lang w:eastAsia="ja-JP"/>
        </w:rPr>
        <w:t xml:space="preserve">JANIS (1997) contains regional flexibility provisions in consideration of differing regional circumstances to ensure that the CAR reserve system delivers optimal nature conservation outcomes as well as acceptable social and economic outcomes. Therefore, the criteria are to be considered guidelines rather than mandatory targets.  </w:t>
      </w:r>
    </w:p>
    <w:p w:rsidR="001743D6" w:rsidRPr="001743D6" w:rsidRDefault="001743D6" w:rsidP="001743D6">
      <w:pPr>
        <w:jc w:val="both"/>
        <w:rPr>
          <w:rFonts w:ascii="Segoe UI" w:hAnsi="Segoe UI" w:cs="Segoe UI"/>
        </w:rPr>
      </w:pPr>
      <w:r w:rsidRPr="003E70FC">
        <w:rPr>
          <w:rFonts w:ascii="Segoe UI" w:hAnsi="Segoe UI" w:cs="Segoe UI"/>
        </w:rPr>
        <w:fldChar w:fldCharType="begin"/>
      </w:r>
      <w:r w:rsidRPr="003E70FC">
        <w:rPr>
          <w:rFonts w:ascii="Segoe UI" w:hAnsi="Segoe UI" w:cs="Segoe UI"/>
        </w:rPr>
        <w:instrText xml:space="preserve"> REF _Ref30085158 \h </w:instrText>
      </w:r>
      <w:r w:rsidR="003E70FC" w:rsidRPr="003E70FC">
        <w:rPr>
          <w:rFonts w:ascii="Segoe UI" w:hAnsi="Segoe UI" w:cs="Segoe UI"/>
        </w:rPr>
        <w:instrText xml:space="preserve"> \* MERGEFORMAT </w:instrText>
      </w:r>
      <w:r w:rsidRPr="003E70FC">
        <w:rPr>
          <w:rFonts w:ascii="Segoe UI" w:hAnsi="Segoe UI" w:cs="Segoe UI"/>
        </w:rPr>
      </w:r>
      <w:r w:rsidRPr="003E70FC">
        <w:rPr>
          <w:rFonts w:ascii="Segoe UI" w:hAnsi="Segoe UI" w:cs="Segoe UI"/>
        </w:rPr>
        <w:fldChar w:fldCharType="separate"/>
      </w:r>
      <w:r w:rsidRPr="003E70FC">
        <w:rPr>
          <w:rFonts w:ascii="Segoe UI" w:hAnsi="Segoe UI" w:cs="Helvetica 45 Light"/>
        </w:rPr>
        <w:t xml:space="preserve">Table </w:t>
      </w:r>
      <w:r w:rsidRPr="003E70FC">
        <w:rPr>
          <w:rFonts w:ascii="Segoe UI" w:hAnsi="Segoe UI" w:cs="Helvetica 45 Light"/>
          <w:noProof/>
        </w:rPr>
        <w:t>29</w:t>
      </w:r>
      <w:r w:rsidRPr="003E70FC">
        <w:rPr>
          <w:rFonts w:ascii="Segoe UI" w:hAnsi="Segoe UI" w:cs="Segoe UI"/>
        </w:rPr>
        <w:fldChar w:fldCharType="end"/>
      </w:r>
      <w:r w:rsidRPr="003E70FC">
        <w:rPr>
          <w:rFonts w:ascii="Segoe UI" w:hAnsi="Segoe UI" w:cs="Segoe UI"/>
        </w:rPr>
        <w:t xml:space="preserve"> </w:t>
      </w:r>
      <w:r w:rsidRPr="001743D6">
        <w:rPr>
          <w:rFonts w:ascii="Segoe UI" w:hAnsi="Segoe UI" w:cs="Segoe UI"/>
        </w:rPr>
        <w:t xml:space="preserve">below summarises the area of terrestrial ecosystems in the Victorian RFA regions and the proportion that is protected as at 2019. Appendix </w:t>
      </w:r>
      <w:r w:rsidRPr="001743D6">
        <w:rPr>
          <w:rFonts w:ascii="Segoe UI" w:hAnsi="Segoe UI" w:cs="Segoe UI"/>
        </w:rPr>
        <w:fldChar w:fldCharType="begin"/>
      </w:r>
      <w:r w:rsidRPr="001743D6">
        <w:rPr>
          <w:rFonts w:ascii="Segoe UI" w:hAnsi="Segoe UI" w:cs="Segoe UI"/>
        </w:rPr>
        <w:instrText xml:space="preserve"> REF _Ref14332823 \r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5</w:t>
      </w:r>
      <w:r w:rsidRPr="001743D6">
        <w:rPr>
          <w:rFonts w:ascii="Segoe UI" w:hAnsi="Segoe UI" w:cs="Segoe UI"/>
        </w:rPr>
        <w:fldChar w:fldCharType="end"/>
      </w:r>
      <w:r w:rsidRPr="001743D6">
        <w:rPr>
          <w:rFonts w:ascii="Segoe UI" w:hAnsi="Segoe UI" w:cs="Segoe UI"/>
        </w:rPr>
        <w:t xml:space="preserve"> shows the area of all terrestrial ecosystems in each individual RFA region, by individual forest and non-forest ecosystems as at 2019. </w:t>
      </w:r>
    </w:p>
    <w:p w:rsidR="001743D6" w:rsidRPr="001743D6" w:rsidRDefault="001743D6" w:rsidP="001743D6">
      <w:pPr>
        <w:jc w:val="both"/>
        <w:rPr>
          <w:rFonts w:ascii="Segoe UI" w:hAnsi="Segoe UI" w:cs="Segoe UI"/>
          <w:lang w:eastAsia="ja-JP"/>
        </w:rPr>
      </w:pPr>
      <w:r w:rsidRPr="001743D6">
        <w:rPr>
          <w:rFonts w:ascii="Segoe UI" w:hAnsi="Segoe UI" w:cs="Segoe UI"/>
          <w:lang w:eastAsia="ja-JP"/>
        </w:rPr>
        <w:t>The EVC map used at the time of the CRAs has since been updated, including updates to the native vegetation extent and progressive improvements in the modelling of EVCs based on new information. The EVC map used in this report is an updated 2019 layer which uses a 2015 native vegetation extent and includes an updated rainforest map and minor typology changes.</w:t>
      </w:r>
    </w:p>
    <w:p w:rsidR="001743D6" w:rsidRPr="001743D6" w:rsidRDefault="001743D6" w:rsidP="001743D6">
      <w:pPr>
        <w:jc w:val="both"/>
        <w:rPr>
          <w:rFonts w:ascii="Segoe UI" w:hAnsi="Segoe UI" w:cs="Segoe UI"/>
          <w:lang w:eastAsia="ja-JP"/>
        </w:rPr>
      </w:pPr>
      <w:bookmarkStart w:id="29" w:name="_Hlk27406032"/>
      <w:r w:rsidRPr="001743D6">
        <w:rPr>
          <w:rFonts w:ascii="Segoe UI" w:hAnsi="Segoe UI" w:cs="Segoe UI"/>
          <w:lang w:eastAsia="ja-JP"/>
        </w:rPr>
        <w:t xml:space="preserve">The EVC data 2019 summarised in </w:t>
      </w:r>
      <w:r w:rsidRPr="003E70FC">
        <w:rPr>
          <w:rFonts w:ascii="Segoe UI" w:hAnsi="Segoe UI" w:cs="Segoe UI"/>
          <w:highlight w:val="yellow"/>
          <w:lang w:eastAsia="ja-JP"/>
        </w:rPr>
        <w:fldChar w:fldCharType="begin"/>
      </w:r>
      <w:r w:rsidRPr="003E70FC">
        <w:rPr>
          <w:rFonts w:ascii="Segoe UI" w:hAnsi="Segoe UI" w:cs="Segoe UI"/>
          <w:highlight w:val="yellow"/>
          <w:lang w:eastAsia="ja-JP"/>
        </w:rPr>
        <w:instrText xml:space="preserve"> REF _Ref30085158 \h </w:instrText>
      </w:r>
      <w:r w:rsidR="003E70FC" w:rsidRPr="003E70FC">
        <w:rPr>
          <w:rFonts w:ascii="Segoe UI" w:hAnsi="Segoe UI" w:cs="Segoe UI"/>
          <w:highlight w:val="yellow"/>
          <w:lang w:eastAsia="ja-JP"/>
        </w:rPr>
        <w:instrText xml:space="preserve"> \* MERGEFORMAT </w:instrText>
      </w:r>
      <w:r w:rsidRPr="003E70FC">
        <w:rPr>
          <w:rFonts w:ascii="Segoe UI" w:hAnsi="Segoe UI" w:cs="Segoe UI"/>
          <w:highlight w:val="yellow"/>
          <w:lang w:eastAsia="ja-JP"/>
        </w:rPr>
      </w:r>
      <w:r w:rsidRPr="003E70FC">
        <w:rPr>
          <w:rFonts w:ascii="Segoe UI" w:hAnsi="Segoe UI" w:cs="Segoe UI"/>
          <w:highlight w:val="yellow"/>
          <w:lang w:eastAsia="ja-JP"/>
        </w:rPr>
        <w:fldChar w:fldCharType="separate"/>
      </w:r>
      <w:r w:rsidRPr="003E70FC">
        <w:rPr>
          <w:rFonts w:ascii="Segoe UI" w:hAnsi="Segoe UI" w:cs="Helvetica 45 Light"/>
        </w:rPr>
        <w:t xml:space="preserve">Table </w:t>
      </w:r>
      <w:r w:rsidRPr="003E70FC">
        <w:rPr>
          <w:rFonts w:ascii="Segoe UI" w:hAnsi="Segoe UI" w:cs="Helvetica 45 Light"/>
          <w:noProof/>
        </w:rPr>
        <w:t>29</w:t>
      </w:r>
      <w:r w:rsidRPr="003E70FC">
        <w:rPr>
          <w:rFonts w:ascii="Segoe UI" w:hAnsi="Segoe UI" w:cs="Segoe UI"/>
          <w:highlight w:val="yellow"/>
          <w:lang w:eastAsia="ja-JP"/>
        </w:rPr>
        <w:fldChar w:fldCharType="end"/>
      </w:r>
      <w:r w:rsidRPr="003E70FC">
        <w:rPr>
          <w:rFonts w:ascii="Segoe UI" w:hAnsi="Segoe UI" w:cs="Segoe UI"/>
          <w:lang w:eastAsia="ja-JP"/>
        </w:rPr>
        <w:t xml:space="preserve"> </w:t>
      </w:r>
      <w:r w:rsidRPr="001743D6">
        <w:rPr>
          <w:rFonts w:ascii="Segoe UI" w:hAnsi="Segoe UI" w:cs="Segoe UI"/>
          <w:lang w:eastAsia="ja-JP"/>
        </w:rPr>
        <w:t>is not directly comparable to the data used in the CRA process (1998-2000) given these updates. Differences between the two data sets include: changes to the method used to generate the pre-1750 EVC model, changes to the method DELWP uses to creates a view of  EVC extent (using a new native vegetation extent model and the pre 1750 dataset), applying nomenclature standards to EVCs which may have resulted in the discontinuation of certain EVC names, the splitting of EVCs, reconciliation of mapping units (such as mosaics and complexes), the delineation of new EVC types and spatial adjustments.</w:t>
      </w:r>
      <w:bookmarkEnd w:id="29"/>
      <w:r w:rsidRPr="001743D6">
        <w:rPr>
          <w:rFonts w:ascii="Segoe UI" w:hAnsi="Segoe UI" w:cs="Segoe UI"/>
          <w:lang w:eastAsia="ja-JP"/>
        </w:rPr>
        <w:t xml:space="preserve"> </w:t>
      </w:r>
    </w:p>
    <w:p w:rsidR="001743D6" w:rsidRPr="001743D6" w:rsidRDefault="001743D6" w:rsidP="001743D6">
      <w:pPr>
        <w:jc w:val="both"/>
        <w:rPr>
          <w:rFonts w:ascii="Segoe UI" w:hAnsi="Segoe UI" w:cs="Segoe UI"/>
        </w:rPr>
      </w:pPr>
      <w:r w:rsidRPr="001743D6">
        <w:rPr>
          <w:rFonts w:ascii="Segoe UI" w:hAnsi="Segoe UI" w:cs="Segoe UI"/>
        </w:rPr>
        <w:t xml:space="preserve">Of the 7.5 million hectares of terrestrial ecosystems identified in the five RFA regions (current extent), a total of 3.6 million hectares (47 per cent) is protected as at 2019 within the CAR reserve system (formal reserve, informal reserve, prescription and private land covenants). As at 2019, across all RFA regions, forest ecosystems have been depleted on average by 40 per cent and non-forest ecosystems have been depleted by 65 per cent since European settlement. </w:t>
      </w:r>
    </w:p>
    <w:p w:rsidR="001743D6" w:rsidRPr="001743D6" w:rsidRDefault="001743D6" w:rsidP="001743D6">
      <w:pPr>
        <w:rPr>
          <w:rFonts w:ascii="Segoe UI" w:hAnsi="Segoe UI" w:cs="Helvetica 45 Light"/>
        </w:rPr>
      </w:pPr>
      <w:r w:rsidRPr="001743D6">
        <w:rPr>
          <w:rFonts w:ascii="Segoe UI" w:hAnsi="Segoe UI" w:cs="Segoe UI"/>
        </w:rPr>
        <w:t>Victoria is the most intensively settled and cleared state in Australia. Large areas of Victoria were cleared for agriculture and although the rate of land clearing has slowed since the introduction of Victoria’s native vegetation regulations in 1989, the quality and extent of native vegetation continues to decline by about 4,000 habitat hectares each year</w:t>
      </w:r>
      <w:r w:rsidRPr="001743D6">
        <w:rPr>
          <w:rFonts w:ascii="Segoe UI" w:hAnsi="Segoe UI" w:cs="Segoe UI"/>
          <w:vertAlign w:val="superscript"/>
        </w:rPr>
        <w:footnoteReference w:id="7"/>
      </w:r>
      <w:r w:rsidRPr="001743D6">
        <w:rPr>
          <w:rFonts w:ascii="Segoe UI" w:hAnsi="Segoe UI" w:cs="Segoe UI"/>
        </w:rPr>
        <w:t>. This trajectory is largely driven by activities inconsistent with (or in breach of) the regulatory framework (resulting in loss of extent of native vegetation), together with insufficient management of threats (resulting in loss of quality).</w:t>
      </w:r>
      <w:r w:rsidRPr="001743D6">
        <w:rPr>
          <w:rFonts w:ascii="Segoe UI" w:hAnsi="Segoe UI" w:cs="Helvetica 45 Light"/>
        </w:rPr>
        <w:t xml:space="preserve"> </w:t>
      </w:r>
    </w:p>
    <w:p w:rsidR="001743D6" w:rsidRPr="001743D6" w:rsidRDefault="001743D6" w:rsidP="001743D6">
      <w:pPr>
        <w:rPr>
          <w:rFonts w:ascii="Segoe UI" w:hAnsi="Segoe UI" w:cs="Segoe UI"/>
        </w:rPr>
      </w:pPr>
      <w:r w:rsidRPr="001743D6">
        <w:rPr>
          <w:rFonts w:ascii="Segoe UI" w:hAnsi="Segoe UI" w:cs="Segoe UI"/>
        </w:rPr>
        <w:t xml:space="preserve">In response, DELWP has developed a </w:t>
      </w:r>
      <w:proofErr w:type="spellStart"/>
      <w:r w:rsidRPr="001743D6">
        <w:rPr>
          <w:rFonts w:ascii="Segoe UI" w:hAnsi="Segoe UI" w:cs="Segoe UI"/>
        </w:rPr>
        <w:t>statewide</w:t>
      </w:r>
      <w:proofErr w:type="spellEnd"/>
      <w:r w:rsidRPr="001743D6">
        <w:rPr>
          <w:rFonts w:ascii="Segoe UI" w:hAnsi="Segoe UI" w:cs="Segoe UI"/>
        </w:rPr>
        <w:t xml:space="preserve"> Biodiversity Plan: </w:t>
      </w:r>
      <w:r w:rsidRPr="001743D6">
        <w:rPr>
          <w:rFonts w:ascii="Segoe UI" w:hAnsi="Segoe UI" w:cs="Segoe UI"/>
          <w:i/>
        </w:rPr>
        <w:t>Protecting Victoria's Environment – Biodiversity 2037</w:t>
      </w:r>
      <w:r w:rsidRPr="001743D6">
        <w:rPr>
          <w:rFonts w:ascii="Segoe UI" w:hAnsi="Segoe UI" w:cs="Segoe UI"/>
        </w:rPr>
        <w:t xml:space="preserve"> (DELWP 2017c). This document sets out a strategic vision to protect biodiversity and reverse the trajectory of native vegetation decline. In addition, the Office of the Conservation Regulator (OCR) was established early in 2019. The function of the OCR is to provide a central point of coordination and oversight for DELWP’s regulatory functions including the natural environment, timber harvesting, public land use, fire prevention, wildlife and biodiversity. More detail about the OCR is provided on page 304 of this report and in the </w:t>
      </w:r>
      <w:r w:rsidRPr="001743D6">
        <w:rPr>
          <w:rFonts w:ascii="Segoe UI" w:hAnsi="Segoe UI" w:cs="Segoe UI"/>
          <w:i/>
        </w:rPr>
        <w:t>Overview of Victoria’s Forest Management System 2020</w:t>
      </w:r>
      <w:r w:rsidRPr="001743D6">
        <w:rPr>
          <w:rFonts w:ascii="Segoe UI" w:hAnsi="Segoe UI" w:cs="Segoe UI"/>
        </w:rPr>
        <w:t>.</w:t>
      </w:r>
    </w:p>
    <w:p w:rsidR="001743D6" w:rsidRPr="001743D6" w:rsidRDefault="001743D6" w:rsidP="001743D6">
      <w:pPr>
        <w:rPr>
          <w:rFonts w:ascii="Segoe UI" w:hAnsi="Segoe UI" w:cs="Helvetica 45 Light"/>
        </w:rPr>
        <w:sectPr w:rsidR="001743D6" w:rsidRPr="001743D6" w:rsidSect="00D06FDE">
          <w:headerReference w:type="default" r:id="rId20"/>
          <w:pgSz w:w="11906" w:h="16838" w:code="9"/>
          <w:pgMar w:top="851" w:right="851" w:bottom="851" w:left="851" w:header="737" w:footer="448" w:gutter="0"/>
          <w:cols w:space="708"/>
          <w:docGrid w:linePitch="360"/>
        </w:sectPr>
      </w:pPr>
    </w:p>
    <w:p w:rsidR="001743D6" w:rsidRPr="001743D6" w:rsidRDefault="001743D6" w:rsidP="001743D6">
      <w:pPr>
        <w:rPr>
          <w:rFonts w:ascii="Segoe UI" w:hAnsi="Segoe UI" w:cs="Helvetica 45 Light"/>
          <w:b/>
          <w:color w:val="0070C0"/>
        </w:rPr>
      </w:pPr>
      <w:bookmarkStart w:id="30" w:name="_Ref11745190"/>
      <w:bookmarkStart w:id="31" w:name="_Ref30085158"/>
      <w:bookmarkStart w:id="32" w:name="_Hlk27562850"/>
      <w:r w:rsidRPr="001743D6">
        <w:rPr>
          <w:rFonts w:ascii="Segoe UI" w:hAnsi="Segoe UI" w:cs="Helvetica 45 Light"/>
          <w:b/>
          <w:color w:val="0070C0"/>
        </w:rPr>
        <w:t xml:space="preserve">Table </w:t>
      </w:r>
      <w:r w:rsidRPr="001743D6">
        <w:rPr>
          <w:rFonts w:ascii="Segoe UI" w:hAnsi="Segoe UI" w:cs="Helvetica 45 Light"/>
          <w:b/>
          <w:color w:val="0070C0"/>
        </w:rPr>
        <w:fldChar w:fldCharType="begin"/>
      </w:r>
      <w:r w:rsidRPr="001743D6">
        <w:rPr>
          <w:rFonts w:ascii="Segoe UI" w:hAnsi="Segoe UI" w:cs="Helvetica 45 Light"/>
          <w:b/>
          <w:color w:val="0070C0"/>
        </w:rPr>
        <w:instrText xml:space="preserve"> SEQ Table \* ARABIC </w:instrText>
      </w:r>
      <w:r w:rsidRPr="001743D6">
        <w:rPr>
          <w:rFonts w:ascii="Segoe UI" w:hAnsi="Segoe UI" w:cs="Helvetica 45 Light"/>
          <w:b/>
          <w:color w:val="0070C0"/>
        </w:rPr>
        <w:fldChar w:fldCharType="separate"/>
      </w:r>
      <w:r w:rsidRPr="001743D6">
        <w:rPr>
          <w:rFonts w:ascii="Segoe UI" w:hAnsi="Segoe UI" w:cs="Helvetica 45 Light"/>
          <w:b/>
          <w:noProof/>
          <w:color w:val="0070C0"/>
        </w:rPr>
        <w:t>29</w:t>
      </w:r>
      <w:r w:rsidRPr="001743D6">
        <w:rPr>
          <w:rFonts w:ascii="Segoe UI" w:hAnsi="Segoe UI" w:cs="Helvetica 45 Light"/>
          <w:b/>
          <w:color w:val="0070C0"/>
        </w:rPr>
        <w:fldChar w:fldCharType="end"/>
      </w:r>
      <w:bookmarkEnd w:id="30"/>
      <w:bookmarkEnd w:id="31"/>
      <w:r w:rsidRPr="001743D6">
        <w:rPr>
          <w:rFonts w:ascii="Segoe UI" w:hAnsi="Segoe UI" w:cs="Helvetica 45 Light"/>
          <w:b/>
          <w:color w:val="0070C0"/>
        </w:rPr>
        <w:t xml:space="preserve">: </w:t>
      </w:r>
      <w:bookmarkEnd w:id="32"/>
      <w:r w:rsidRPr="001743D6">
        <w:rPr>
          <w:rFonts w:ascii="Segoe UI" w:hAnsi="Segoe UI" w:cs="Helvetica 45 Light"/>
          <w:b/>
          <w:color w:val="0070C0"/>
        </w:rPr>
        <w:t>Summary of forest and non-forest ecosystems by RFA</w:t>
      </w:r>
    </w:p>
    <w:tbl>
      <w:tblPr>
        <w:tblStyle w:val="dpitablestyle"/>
        <w:tblW w:w="14219" w:type="dxa"/>
        <w:tblLook w:val="04A0" w:firstRow="1" w:lastRow="0" w:firstColumn="1" w:lastColumn="0" w:noHBand="0" w:noVBand="1"/>
      </w:tblPr>
      <w:tblGrid>
        <w:gridCol w:w="2104"/>
        <w:gridCol w:w="1582"/>
        <w:gridCol w:w="1582"/>
        <w:gridCol w:w="1550"/>
        <w:gridCol w:w="1909"/>
        <w:gridCol w:w="1682"/>
        <w:gridCol w:w="1843"/>
        <w:gridCol w:w="1967"/>
      </w:tblGrid>
      <w:tr w:rsidR="001743D6" w:rsidRPr="001743D6" w:rsidTr="00D06FDE">
        <w:trPr>
          <w:cnfStyle w:val="100000000000" w:firstRow="1" w:lastRow="0" w:firstColumn="0" w:lastColumn="0" w:oddVBand="0" w:evenVBand="0" w:oddHBand="0" w:evenHBand="0" w:firstRowFirstColumn="0" w:firstRowLastColumn="0" w:lastRowFirstColumn="0" w:lastRowLastColumn="0"/>
          <w:trHeight w:val="1542"/>
        </w:trPr>
        <w:tc>
          <w:tcPr>
            <w:tcW w:w="2104" w:type="dxa"/>
            <w:hideMark/>
          </w:tcPr>
          <w:p w:rsidR="001743D6" w:rsidRPr="001743D6" w:rsidRDefault="001743D6" w:rsidP="001743D6">
            <w:pPr>
              <w:rPr>
                <w:rFonts w:ascii="Segoe UI" w:hAnsi="Segoe UI" w:cs="Helvetica 45 Light"/>
              </w:rPr>
            </w:pPr>
          </w:p>
        </w:tc>
        <w:tc>
          <w:tcPr>
            <w:tcW w:w="1582" w:type="dxa"/>
            <w:hideMark/>
          </w:tcPr>
          <w:p w:rsidR="001743D6" w:rsidRPr="001743D6" w:rsidRDefault="001743D6" w:rsidP="001743D6">
            <w:pPr>
              <w:rPr>
                <w:rFonts w:ascii="Segoe UI" w:hAnsi="Segoe UI" w:cs="Helvetica 45 Light"/>
              </w:rPr>
            </w:pPr>
            <w:r w:rsidRPr="001743D6">
              <w:rPr>
                <w:rFonts w:ascii="Segoe UI" w:hAnsi="Segoe UI" w:cs="Helvetica 45 Light"/>
              </w:rPr>
              <w:t>Forest ecosystem</w:t>
            </w:r>
          </w:p>
        </w:tc>
        <w:tc>
          <w:tcPr>
            <w:tcW w:w="1582" w:type="dxa"/>
            <w:hideMark/>
          </w:tcPr>
          <w:p w:rsidR="001743D6" w:rsidRPr="001743D6" w:rsidRDefault="001743D6" w:rsidP="001743D6">
            <w:pPr>
              <w:rPr>
                <w:rFonts w:ascii="Segoe UI" w:hAnsi="Segoe UI" w:cs="Helvetica 45 Light"/>
              </w:rPr>
            </w:pPr>
            <w:r w:rsidRPr="001743D6">
              <w:rPr>
                <w:rFonts w:ascii="Segoe UI" w:hAnsi="Segoe UI" w:cs="Helvetica 45 Light"/>
              </w:rPr>
              <w:t xml:space="preserve">Pre-1750 extent (ha) </w:t>
            </w:r>
          </w:p>
        </w:tc>
        <w:tc>
          <w:tcPr>
            <w:tcW w:w="1550" w:type="dxa"/>
            <w:hideMark/>
          </w:tcPr>
          <w:p w:rsidR="001743D6" w:rsidRPr="001743D6" w:rsidRDefault="001743D6" w:rsidP="001743D6">
            <w:pPr>
              <w:rPr>
                <w:rFonts w:ascii="Segoe UI" w:hAnsi="Segoe UI" w:cs="Helvetica 45 Light"/>
              </w:rPr>
            </w:pPr>
            <w:r w:rsidRPr="001743D6">
              <w:rPr>
                <w:rFonts w:ascii="Segoe UI" w:hAnsi="Segoe UI" w:cs="Helvetica 45 Light"/>
              </w:rPr>
              <w:t xml:space="preserve">Current extent as at June 2019 (ha) </w:t>
            </w:r>
          </w:p>
        </w:tc>
        <w:tc>
          <w:tcPr>
            <w:tcW w:w="1909" w:type="dxa"/>
            <w:hideMark/>
          </w:tcPr>
          <w:p w:rsidR="001743D6" w:rsidRPr="001743D6" w:rsidRDefault="001743D6" w:rsidP="001743D6">
            <w:pPr>
              <w:rPr>
                <w:rFonts w:ascii="Segoe UI" w:hAnsi="Segoe UI" w:cs="Helvetica 45 Light"/>
              </w:rPr>
            </w:pPr>
            <w:r w:rsidRPr="001743D6">
              <w:rPr>
                <w:rFonts w:ascii="Segoe UI" w:hAnsi="Segoe UI" w:cs="Helvetica 45 Light"/>
              </w:rPr>
              <w:t xml:space="preserve"> per cent depletion since 1750</w:t>
            </w:r>
          </w:p>
        </w:tc>
        <w:tc>
          <w:tcPr>
            <w:tcW w:w="1682" w:type="dxa"/>
            <w:hideMark/>
          </w:tcPr>
          <w:p w:rsidR="001743D6" w:rsidRPr="001743D6" w:rsidRDefault="001743D6" w:rsidP="001743D6">
            <w:pPr>
              <w:rPr>
                <w:rFonts w:ascii="Segoe UI" w:hAnsi="Segoe UI" w:cs="Segoe UI"/>
                <w:sz w:val="16"/>
                <w:szCs w:val="16"/>
              </w:rPr>
            </w:pPr>
            <w:r w:rsidRPr="001743D6">
              <w:rPr>
                <w:rFonts w:ascii="Segoe UI" w:hAnsi="Segoe UI" w:cs="Helvetica 45 Light"/>
              </w:rPr>
              <w:t xml:space="preserve"> per c</w:t>
            </w:r>
            <w:r w:rsidRPr="001743D6">
              <w:rPr>
                <w:rFonts w:ascii="Segoe UI" w:hAnsi="Segoe UI" w:cs="Segoe UI"/>
                <w:sz w:val="16"/>
                <w:szCs w:val="16"/>
              </w:rPr>
              <w:t xml:space="preserve">ent of pre-1750 extent protected as at Dec 2019 (CAR Reserve System) </w:t>
            </w:r>
          </w:p>
        </w:tc>
        <w:tc>
          <w:tcPr>
            <w:tcW w:w="1843" w:type="dxa"/>
            <w:hideMark/>
          </w:tcPr>
          <w:p w:rsidR="001743D6" w:rsidRPr="001743D6" w:rsidRDefault="001743D6" w:rsidP="001743D6">
            <w:pPr>
              <w:rPr>
                <w:rFonts w:ascii="Segoe UI" w:hAnsi="Segoe UI" w:cs="Segoe UI"/>
                <w:sz w:val="16"/>
                <w:szCs w:val="16"/>
              </w:rPr>
            </w:pPr>
            <w:r w:rsidRPr="001743D6">
              <w:rPr>
                <w:rFonts w:ascii="Segoe UI" w:hAnsi="Segoe UI" w:cs="Segoe UI"/>
                <w:sz w:val="16"/>
                <w:szCs w:val="16"/>
              </w:rPr>
              <w:t xml:space="preserve"> per cent of remaining ecosystem protected as at Dec 2019 (CAR Reserve System) </w:t>
            </w:r>
          </w:p>
        </w:tc>
        <w:tc>
          <w:tcPr>
            <w:tcW w:w="1967" w:type="dxa"/>
            <w:hideMark/>
          </w:tcPr>
          <w:p w:rsidR="001743D6" w:rsidRPr="001743D6" w:rsidRDefault="001743D6" w:rsidP="001743D6">
            <w:pPr>
              <w:rPr>
                <w:rFonts w:ascii="Segoe UI" w:hAnsi="Segoe UI" w:cs="Segoe UI"/>
                <w:sz w:val="16"/>
                <w:szCs w:val="16"/>
              </w:rPr>
            </w:pPr>
            <w:r w:rsidRPr="001743D6">
              <w:rPr>
                <w:rFonts w:ascii="Segoe UI" w:hAnsi="Segoe UI" w:cs="Segoe UI"/>
                <w:sz w:val="16"/>
                <w:szCs w:val="16"/>
              </w:rPr>
              <w:t xml:space="preserve">Area of terrestrial ecosystems not in protected areas as at June 2019 (ha)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Central Highlands </w:t>
            </w: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Total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1,131,782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830,927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27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32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44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439,188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1,064,891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806,250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24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33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44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421,739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Non-Forest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66,891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24,678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63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11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29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17,449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hideMark/>
          </w:tcPr>
          <w:p w:rsidR="001743D6" w:rsidRPr="001743D6" w:rsidRDefault="001743D6" w:rsidP="001743D6">
            <w:pPr>
              <w:rPr>
                <w:rFonts w:ascii="Segoe UI" w:hAnsi="Segoe UI" w:cs="Segoe UI"/>
                <w:szCs w:val="20"/>
              </w:rPr>
            </w:pPr>
            <w:r w:rsidRPr="001743D6">
              <w:rPr>
                <w:rFonts w:ascii="Segoe UI" w:hAnsi="Segoe UI" w:cs="Segoe UI"/>
                <w:szCs w:val="20"/>
              </w:rPr>
              <w:t>East Gippsland</w:t>
            </w: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Total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1,238,561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1,155,338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7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53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57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430,356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1,177,480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1,116,689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5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54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57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420,641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Non-Forest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61,080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38,649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37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47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74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9,715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hideMark/>
          </w:tcPr>
          <w:p w:rsidR="001743D6" w:rsidRPr="001743D6" w:rsidRDefault="001743D6" w:rsidP="001743D6">
            <w:pPr>
              <w:rPr>
                <w:rFonts w:ascii="Segoe UI" w:hAnsi="Segoe UI" w:cs="Segoe UI"/>
                <w:szCs w:val="20"/>
              </w:rPr>
            </w:pPr>
            <w:r w:rsidRPr="001743D6">
              <w:rPr>
                <w:rFonts w:ascii="Segoe UI" w:hAnsi="Segoe UI" w:cs="Segoe UI"/>
                <w:szCs w:val="20"/>
              </w:rPr>
              <w:t>Gippsland</w:t>
            </w: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Total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2,654,114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1,795,356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32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39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58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747,652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2,306,168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1,594,181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31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40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58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656,637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bCs/>
                <w:szCs w:val="20"/>
              </w:rPr>
            </w:pPr>
            <w:r w:rsidRPr="001743D6">
              <w:rPr>
                <w:rFonts w:ascii="Segoe UI" w:hAnsi="Segoe UI" w:cs="Segoe UI"/>
                <w:bCs/>
                <w:szCs w:val="20"/>
              </w:rPr>
              <w:t xml:space="preserve">Non-Forest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347,945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201,175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42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32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55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91,015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North East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Total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2,317,697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1,588,679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31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36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53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707,159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2,288,529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1,563,287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32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36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53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699,816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Non-Forest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29,168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25,392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13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62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71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7,344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West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Total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5,770,882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2,151,266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63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12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32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1,464,842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szCs w:val="20"/>
              </w:rPr>
              <w:t>Forest</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4,438,363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1,736,813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61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13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32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1,172,961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tcW w:w="2104" w:type="dxa"/>
          </w:tcPr>
          <w:p w:rsidR="001743D6" w:rsidRPr="001743D6" w:rsidRDefault="001743D6" w:rsidP="001743D6">
            <w:pPr>
              <w:rPr>
                <w:rFonts w:ascii="Segoe UI" w:hAnsi="Segoe UI" w:cs="Segoe UI"/>
                <w:szCs w:val="20"/>
              </w:rPr>
            </w:pP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szCs w:val="20"/>
              </w:rPr>
              <w:t xml:space="preserve">Non-Forest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1,332,519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414,452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69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9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30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291,881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tcW w:w="2104" w:type="dxa"/>
            <w:hideMark/>
          </w:tcPr>
          <w:p w:rsidR="001743D6" w:rsidRPr="001743D6" w:rsidRDefault="001743D6" w:rsidP="001743D6">
            <w:pPr>
              <w:rPr>
                <w:rFonts w:ascii="Segoe UI" w:hAnsi="Segoe UI" w:cs="Segoe UI"/>
                <w:szCs w:val="20"/>
              </w:rPr>
            </w:pPr>
            <w:r w:rsidRPr="001743D6">
              <w:rPr>
                <w:rFonts w:ascii="Segoe UI" w:hAnsi="Segoe UI" w:cs="Segoe UI"/>
                <w:szCs w:val="20"/>
              </w:rPr>
              <w:t>Total all RFAS</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szCs w:val="20"/>
              </w:rPr>
              <w:t> </w:t>
            </w:r>
          </w:p>
        </w:tc>
        <w:tc>
          <w:tcPr>
            <w:tcW w:w="1582"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13,113,035 </w:t>
            </w:r>
          </w:p>
        </w:tc>
        <w:tc>
          <w:tcPr>
            <w:tcW w:w="1550"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7,521,565 </w:t>
            </w:r>
          </w:p>
        </w:tc>
        <w:tc>
          <w:tcPr>
            <w:tcW w:w="1909" w:type="dxa"/>
            <w:hideMark/>
          </w:tcPr>
          <w:p w:rsidR="001743D6" w:rsidRPr="001743D6" w:rsidRDefault="001743D6" w:rsidP="001743D6">
            <w:pPr>
              <w:rPr>
                <w:rFonts w:ascii="Segoe UI" w:hAnsi="Segoe UI" w:cs="Segoe UI"/>
                <w:szCs w:val="20"/>
              </w:rPr>
            </w:pPr>
            <w:r w:rsidRPr="001743D6">
              <w:rPr>
                <w:rFonts w:ascii="Segoe UI" w:hAnsi="Segoe UI" w:cs="Segoe UI"/>
                <w:szCs w:val="20"/>
              </w:rPr>
              <w:t>43 per cent</w:t>
            </w:r>
          </w:p>
        </w:tc>
        <w:tc>
          <w:tcPr>
            <w:tcW w:w="1682" w:type="dxa"/>
            <w:hideMark/>
          </w:tcPr>
          <w:p w:rsidR="001743D6" w:rsidRPr="001743D6" w:rsidRDefault="001743D6" w:rsidP="001743D6">
            <w:pPr>
              <w:rPr>
                <w:rFonts w:ascii="Segoe UI" w:hAnsi="Segoe UI" w:cs="Segoe UI"/>
                <w:szCs w:val="20"/>
              </w:rPr>
            </w:pPr>
            <w:r w:rsidRPr="001743D6">
              <w:rPr>
                <w:rFonts w:ascii="Segoe UI" w:hAnsi="Segoe UI" w:cs="Segoe UI"/>
                <w:szCs w:val="20"/>
              </w:rPr>
              <w:t>27 per cent</w:t>
            </w:r>
          </w:p>
        </w:tc>
        <w:tc>
          <w:tcPr>
            <w:tcW w:w="1843" w:type="dxa"/>
            <w:hideMark/>
          </w:tcPr>
          <w:p w:rsidR="001743D6" w:rsidRPr="001743D6" w:rsidRDefault="001743D6" w:rsidP="001743D6">
            <w:pPr>
              <w:rPr>
                <w:rFonts w:ascii="Segoe UI" w:hAnsi="Segoe UI" w:cs="Segoe UI"/>
                <w:szCs w:val="20"/>
              </w:rPr>
            </w:pPr>
            <w:r w:rsidRPr="001743D6">
              <w:rPr>
                <w:rFonts w:ascii="Segoe UI" w:hAnsi="Segoe UI" w:cs="Segoe UI"/>
                <w:szCs w:val="20"/>
              </w:rPr>
              <w:t>47.56 per cent</w:t>
            </w:r>
          </w:p>
        </w:tc>
        <w:tc>
          <w:tcPr>
            <w:tcW w:w="1967" w:type="dxa"/>
            <w:hideMark/>
          </w:tcPr>
          <w:p w:rsidR="001743D6" w:rsidRPr="001743D6" w:rsidRDefault="001743D6" w:rsidP="001743D6">
            <w:pPr>
              <w:rPr>
                <w:rFonts w:ascii="Segoe UI" w:hAnsi="Segoe UI" w:cs="Segoe UI"/>
                <w:szCs w:val="20"/>
              </w:rPr>
            </w:pPr>
            <w:r w:rsidRPr="001743D6">
              <w:rPr>
                <w:rFonts w:ascii="Segoe UI" w:hAnsi="Segoe UI" w:cs="Segoe UI"/>
              </w:rPr>
              <w:t xml:space="preserve"> 3,789,198 </w:t>
            </w:r>
          </w:p>
        </w:tc>
      </w:tr>
    </w:tbl>
    <w:p w:rsidR="001743D6" w:rsidRPr="001743D6" w:rsidRDefault="001743D6" w:rsidP="001743D6">
      <w:pPr>
        <w:rPr>
          <w:rFonts w:ascii="Segoe UI" w:hAnsi="Segoe UI" w:cs="Segoe UI"/>
        </w:rPr>
      </w:pP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bookmarkStart w:id="33" w:name="_Hlk15369637"/>
      <w:r w:rsidRPr="001743D6">
        <w:rPr>
          <w:rFonts w:ascii="Segoe UI" w:eastAsia="STZhongsong" w:hAnsi="Segoe UI" w:cs="Segoe UI"/>
          <w:bCs/>
          <w:sz w:val="18"/>
          <w:szCs w:val="18"/>
          <w:lang w:eastAsia="ko-KR"/>
        </w:rPr>
        <w:t xml:space="preserve">Notes: </w:t>
      </w: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The figures shown in this table are based on modelled information mapped at a scale of 1:100,000 derived during the pre-1750 analysis of vegetation types in the Central Highlands and are therefore only approximate. EVC mapping used in 1998 has been revised to ensure the state-wide EVC data set is based on the best available information and integrates new methods of mapping and modelling vegetation across Victoria. As a result, information relating to EVC extent or reservation levels between 1998 and 2019 is not directly comparable and may differ due to the different modelling and mapping approaches. </w:t>
      </w: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p>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Protected areas for the purpose of this report include dedicated reserves, SPZs, covenants on private land and mapped Code of Forest Practice exclusions. This dataset is identified in the aggregation of the PLM25 dataset and the Forest Management Zone dataset (FMZ100). In this report, areas protected by prescription are estimated using the spatial layer ‘</w:t>
      </w:r>
      <w:proofErr w:type="spellStart"/>
      <w:r w:rsidRPr="001743D6">
        <w:rPr>
          <w:rFonts w:ascii="Segoe UI" w:eastAsia="STZhongsong" w:hAnsi="Segoe UI" w:cs="Segoe UI"/>
          <w:bCs/>
          <w:sz w:val="18"/>
          <w:szCs w:val="18"/>
          <w:lang w:eastAsia="ko-KR"/>
        </w:rPr>
        <w:t>ModEx</w:t>
      </w:r>
      <w:proofErr w:type="spellEnd"/>
      <w:r w:rsidRPr="001743D6">
        <w:rPr>
          <w:rFonts w:ascii="Segoe UI" w:eastAsia="STZhongsong" w:hAnsi="Segoe UI" w:cs="Segoe UI"/>
          <w:bCs/>
          <w:sz w:val="18"/>
          <w:szCs w:val="18"/>
          <w:lang w:eastAsia="ko-KR"/>
        </w:rPr>
        <w:t xml:space="preserve">’.  </w:t>
      </w:r>
    </w:p>
    <w:bookmarkEnd w:id="33"/>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Source: Data derived from DELWP corporate spatial layers PLM25, FMZ100 and 2019 interim RFA EVC mapping (unpublished). </w:t>
      </w:r>
    </w:p>
    <w:bookmarkEnd w:id="23"/>
    <w:p w:rsidR="001743D6" w:rsidRPr="001743D6" w:rsidRDefault="001743D6" w:rsidP="001743D6">
      <w:pPr>
        <w:rPr>
          <w:rFonts w:ascii="Segoe UI" w:hAnsi="Segoe UI" w:cs="Segoe UI"/>
        </w:rPr>
      </w:pPr>
    </w:p>
    <w:p w:rsidR="001743D6" w:rsidRPr="001743D6" w:rsidRDefault="001743D6" w:rsidP="001743D6">
      <w:pPr>
        <w:rPr>
          <w:rFonts w:ascii="Segoe UI" w:hAnsi="Segoe UI" w:cs="Segoe UI"/>
        </w:rPr>
        <w:sectPr w:rsidR="001743D6" w:rsidRPr="001743D6" w:rsidSect="00D06FDE">
          <w:pgSz w:w="16838" w:h="11906" w:orient="landscape" w:code="9"/>
          <w:pgMar w:top="851" w:right="851" w:bottom="851" w:left="851" w:header="737" w:footer="448" w:gutter="0"/>
          <w:cols w:space="708"/>
          <w:docGrid w:linePitch="360"/>
        </w:sectPr>
      </w:pPr>
    </w:p>
    <w:p w:rsidR="001743D6" w:rsidRPr="001743D6" w:rsidRDefault="001743D6" w:rsidP="001743D6">
      <w:pPr>
        <w:keepNext/>
        <w:spacing w:before="240" w:after="240" w:line="240" w:lineRule="auto"/>
        <w:outlineLvl w:val="2"/>
        <w:rPr>
          <w:rFonts w:ascii="Segoe UI" w:hAnsi="Segoe UI" w:cs="Segoe UI"/>
          <w:b/>
          <w:color w:val="000000"/>
          <w:sz w:val="24"/>
          <w:szCs w:val="24"/>
        </w:rPr>
      </w:pPr>
      <w:bookmarkStart w:id="34" w:name="_Toc11768310"/>
      <w:bookmarkStart w:id="35" w:name="_Toc30491992"/>
      <w:bookmarkStart w:id="36" w:name="_Toc33002089"/>
      <w:r w:rsidRPr="001743D6">
        <w:rPr>
          <w:rFonts w:ascii="Segoe UI" w:hAnsi="Segoe UI" w:cs="Segoe UI"/>
          <w:b/>
          <w:color w:val="000000"/>
          <w:sz w:val="24"/>
          <w:szCs w:val="24"/>
        </w:rPr>
        <w:t>Indicator 1.1d: Fragmentation of forest cover</w:t>
      </w:r>
      <w:bookmarkEnd w:id="34"/>
      <w:bookmarkEnd w:id="35"/>
      <w:bookmarkEnd w:id="36"/>
    </w:p>
    <w:p w:rsidR="001743D6" w:rsidRPr="001743D6" w:rsidRDefault="001743D6" w:rsidP="001743D6">
      <w:pPr>
        <w:jc w:val="both"/>
        <w:rPr>
          <w:rFonts w:ascii="Segoe UI" w:hAnsi="Segoe UI" w:cs="Segoe UI"/>
        </w:rPr>
      </w:pPr>
      <w:r w:rsidRPr="001743D6">
        <w:rPr>
          <w:rFonts w:ascii="Segoe UI" w:hAnsi="Segoe UI" w:cs="Segoe UI"/>
        </w:rPr>
        <w:t>The VSOFR 2018 described forest fragmentation in the following way:</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 xml:space="preserve">Forest fragmentation is a metric to describe forest quality. It assumes that the highest quality forests are at the centre, and that the larger the area, the more resilient the forest is to disturbances. Forest loss and the deterioration of forest health via increasing fragmentation, pose significant threats to biodiversity, and endanger the sustainability of ecological goods and services from forested land.  </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(Commissioner for Environmental Sustainability Victoria 2019, p. 64)</w:t>
      </w:r>
    </w:p>
    <w:p w:rsidR="001743D6" w:rsidRPr="001743D6" w:rsidRDefault="001743D6" w:rsidP="001743D6">
      <w:pPr>
        <w:jc w:val="both"/>
        <w:rPr>
          <w:rFonts w:ascii="Segoe UI" w:hAnsi="Segoe UI" w:cs="Segoe UI"/>
        </w:rPr>
      </w:pPr>
      <w:r w:rsidRPr="001743D6">
        <w:rPr>
          <w:rFonts w:ascii="Segoe UI" w:hAnsi="Segoe UI" w:cs="Segoe UI"/>
        </w:rPr>
        <w:t>Change in forest cover and the spatial configuration of gain and loss show the level of fragmentation in Victoria’s forests (</w:t>
      </w:r>
      <w:r w:rsidRPr="001743D6">
        <w:rPr>
          <w:rFonts w:ascii="Segoe UI" w:hAnsi="Segoe UI" w:cs="Segoe UI"/>
        </w:rPr>
        <w:fldChar w:fldCharType="begin"/>
      </w:r>
      <w:r w:rsidRPr="001743D6">
        <w:rPr>
          <w:rFonts w:ascii="Segoe UI" w:hAnsi="Segoe UI" w:cs="Segoe UI"/>
        </w:rPr>
        <w:instrText xml:space="preserve"> REF _Ref18666963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Figure </w:t>
      </w:r>
      <w:r w:rsidRPr="001743D6">
        <w:rPr>
          <w:rFonts w:ascii="Segoe UI" w:hAnsi="Segoe UI" w:cs="Segoe UI"/>
          <w:noProof/>
        </w:rPr>
        <w:t>8</w:t>
      </w:r>
      <w:r w:rsidRPr="001743D6">
        <w:rPr>
          <w:rFonts w:ascii="Segoe UI" w:hAnsi="Segoe UI" w:cs="Segoe UI"/>
        </w:rPr>
        <w:fldChar w:fldCharType="end"/>
      </w:r>
      <w:r w:rsidRPr="001743D6">
        <w:rPr>
          <w:rFonts w:ascii="Segoe UI" w:hAnsi="Segoe UI" w:cs="Segoe UI"/>
        </w:rPr>
        <w:t>) and have implications for forest-dependent species.</w:t>
      </w:r>
    </w:p>
    <w:p w:rsidR="001743D6" w:rsidRPr="001743D6" w:rsidRDefault="001743D6" w:rsidP="001743D6">
      <w:pPr>
        <w:keepNext/>
        <w:rPr>
          <w:rFonts w:ascii="Segoe UI" w:hAnsi="Segoe UI" w:cs="Segoe UI"/>
        </w:rPr>
      </w:pPr>
      <w:r w:rsidRPr="001743D6">
        <w:rPr>
          <w:rFonts w:ascii="Segoe UI" w:hAnsi="Segoe UI" w:cs="Segoe UI"/>
          <w:noProof/>
        </w:rPr>
        <w:drawing>
          <wp:inline distT="0" distB="0" distL="0" distR="0" wp14:anchorId="39C1D4D0" wp14:editId="5C0E0B6C">
            <wp:extent cx="5645785" cy="3952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649009" cy="3955132"/>
                    </a:xfrm>
                    <a:prstGeom prst="rect">
                      <a:avLst/>
                    </a:prstGeom>
                    <a:ln>
                      <a:noFill/>
                    </a:ln>
                    <a:extLst>
                      <a:ext uri="{53640926-AAD7-44D8-BBD7-CCE9431645EC}">
                        <a14:shadowObscured xmlns:a14="http://schemas.microsoft.com/office/drawing/2010/main"/>
                      </a:ext>
                    </a:extLst>
                  </pic:spPr>
                </pic:pic>
              </a:graphicData>
            </a:graphic>
          </wp:inline>
        </w:drawing>
      </w:r>
    </w:p>
    <w:p w:rsidR="001743D6" w:rsidRPr="001743D6" w:rsidRDefault="001743D6" w:rsidP="001743D6">
      <w:pPr>
        <w:spacing w:after="200" w:line="240" w:lineRule="auto"/>
        <w:rPr>
          <w:rFonts w:ascii="Segoe UI Semibold" w:eastAsia="Times New Roman" w:hAnsi="Segoe UI Semibold" w:cs="Times New Roman"/>
          <w:color w:val="016295"/>
        </w:rPr>
      </w:pPr>
      <w:bookmarkStart w:id="37" w:name="_Ref18666963"/>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8</w:t>
      </w:r>
      <w:r w:rsidRPr="001743D6">
        <w:rPr>
          <w:rFonts w:ascii="Segoe UI Semibold" w:eastAsia="Times New Roman" w:hAnsi="Segoe UI Semibold" w:cs="Times New Roman"/>
          <w:noProof/>
          <w:color w:val="016295"/>
        </w:rPr>
        <w:fldChar w:fldCharType="end"/>
      </w:r>
      <w:bookmarkEnd w:id="37"/>
      <w:r w:rsidRPr="001743D6">
        <w:rPr>
          <w:rFonts w:ascii="Segoe UI Semibold" w:eastAsia="Times New Roman" w:hAnsi="Segoe UI Semibold" w:cs="Times New Roman"/>
          <w:color w:val="016295"/>
        </w:rPr>
        <w:t xml:space="preserve">: Forest fragmentation in Victoria (published 2018 reprinting 2013 baseline year) </w:t>
      </w:r>
    </w:p>
    <w:p w:rsidR="001743D6" w:rsidRPr="001743D6" w:rsidRDefault="001743D6" w:rsidP="001743D6">
      <w:pPr>
        <w:jc w:val="both"/>
        <w:rPr>
          <w:rFonts w:ascii="Segoe UI" w:hAnsi="Segoe UI" w:cs="Segoe UI"/>
        </w:rPr>
      </w:pPr>
      <w:r w:rsidRPr="001743D6">
        <w:rPr>
          <w:rFonts w:ascii="Segoe UI" w:hAnsi="Segoe UI" w:cs="Segoe UI"/>
        </w:rPr>
        <w:t>The fragmentation analysis provided here is derived from two forest/non-forest datasets which represent baseline years of 2009 and 2013 and published in 2013 and 2018 respectively. This analysis uses five fragmentation categories. Increasing area of interior forest reflects an improvement, while increases in Patch, Edge and Perforated categories reflect an increasing level of fragmentation (</w:t>
      </w:r>
      <w:r w:rsidRPr="001743D6">
        <w:rPr>
          <w:rFonts w:ascii="Segoe UI" w:hAnsi="Segoe UI" w:cs="Segoe UI"/>
        </w:rPr>
        <w:fldChar w:fldCharType="begin"/>
      </w:r>
      <w:r w:rsidRPr="001743D6">
        <w:rPr>
          <w:rFonts w:ascii="Segoe UI" w:hAnsi="Segoe UI" w:cs="Segoe UI"/>
        </w:rPr>
        <w:instrText xml:space="preserve"> REF _Ref14944106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Figure </w:t>
      </w:r>
      <w:r w:rsidRPr="001743D6">
        <w:rPr>
          <w:rFonts w:ascii="Segoe UI" w:hAnsi="Segoe UI" w:cs="Segoe UI"/>
          <w:noProof/>
        </w:rPr>
        <w:t>9</w:t>
      </w:r>
      <w:r w:rsidRPr="001743D6">
        <w:rPr>
          <w:rFonts w:ascii="Segoe UI" w:hAnsi="Segoe UI" w:cs="Segoe UI"/>
        </w:rPr>
        <w:fldChar w:fldCharType="end"/>
      </w:r>
      <w:r w:rsidRPr="001743D6">
        <w:rPr>
          <w:rFonts w:ascii="Segoe UI" w:hAnsi="Segoe UI" w:cs="Segoe UI"/>
        </w:rPr>
        <w:t>).</w:t>
      </w:r>
    </w:p>
    <w:p w:rsidR="001743D6" w:rsidRPr="001743D6" w:rsidRDefault="001743D6" w:rsidP="001743D6">
      <w:pPr>
        <w:jc w:val="both"/>
        <w:rPr>
          <w:rFonts w:ascii="Segoe UI" w:hAnsi="Segoe UI" w:cs="Segoe UI"/>
        </w:rPr>
      </w:pPr>
      <w:r w:rsidRPr="001743D6">
        <w:rPr>
          <w:rFonts w:ascii="Segoe UI" w:hAnsi="Segoe UI" w:cs="Segoe UI"/>
        </w:rPr>
        <w:t>Increases of interior forest across all RFAs largely reflect the significant regeneration from major bushfires that occurred in the decade to 2010, as quantified through this remote-sensing approach. The overall trend for forest fragmentation across the RFA regions between 2009 and 2013 is good, as reflected in the Interior gains; however, site-scale analysis in some areas may provide different results than landscape-level analysis.</w:t>
      </w:r>
    </w:p>
    <w:p w:rsidR="001743D6" w:rsidRPr="001743D6" w:rsidRDefault="001743D6" w:rsidP="001743D6">
      <w:pPr>
        <w:rPr>
          <w:rFonts w:ascii="Segoe UI" w:hAnsi="Segoe UI" w:cs="Segoe UI"/>
        </w:rPr>
      </w:pPr>
      <w:r w:rsidRPr="001743D6">
        <w:rPr>
          <w:rFonts w:ascii="Segoe UI" w:hAnsi="Segoe UI" w:cs="Segoe UI"/>
          <w:noProof/>
          <w:lang w:eastAsia="en-AU"/>
        </w:rPr>
        <w:drawing>
          <wp:inline distT="0" distB="0" distL="0" distR="0" wp14:anchorId="21D9229A" wp14:editId="221124CC">
            <wp:extent cx="5667375" cy="3133725"/>
            <wp:effectExtent l="0" t="0" r="9525" b="9525"/>
            <wp:docPr id="1491331529" name="Chart 1491331529">
              <a:extLst xmlns:a="http://schemas.openxmlformats.org/drawingml/2006/main">
                <a:ext uri="{FF2B5EF4-FFF2-40B4-BE49-F238E27FC236}">
                  <a16:creationId xmlns:a16="http://schemas.microsoft.com/office/drawing/2014/main" id="{2724CA63-071D-4DA5-A102-E895E448E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38" w:name="_Ref14944106"/>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9</w:t>
      </w:r>
      <w:r w:rsidRPr="001743D6">
        <w:rPr>
          <w:rFonts w:ascii="Segoe UI Semibold" w:eastAsia="Times New Roman" w:hAnsi="Segoe UI Semibold" w:cs="Times New Roman"/>
          <w:noProof/>
          <w:color w:val="016295"/>
        </w:rPr>
        <w:fldChar w:fldCharType="end"/>
      </w:r>
      <w:bookmarkEnd w:id="38"/>
      <w:r w:rsidRPr="001743D6">
        <w:rPr>
          <w:rFonts w:ascii="Segoe UI Semibold" w:eastAsia="Times New Roman" w:hAnsi="Segoe UI Semibold" w:cs="Times New Roman"/>
          <w:color w:val="016295"/>
        </w:rPr>
        <w:t>: Change in fragmentation status between baseline years of 2009 and 2013</w:t>
      </w:r>
    </w:p>
    <w:p w:rsidR="001743D6" w:rsidRPr="001743D6" w:rsidRDefault="001743D6" w:rsidP="001743D6">
      <w:pPr>
        <w:rPr>
          <w:rFonts w:ascii="Segoe UI" w:hAnsi="Segoe UI" w:cs="Segoe UI"/>
        </w:rPr>
      </w:pPr>
    </w:p>
    <w:p w:rsidR="001743D6" w:rsidRPr="001743D6" w:rsidRDefault="001743D6" w:rsidP="001743D6">
      <w:pPr>
        <w:spacing w:after="200" w:line="240" w:lineRule="auto"/>
        <w:rPr>
          <w:rFonts w:ascii="Segoe UI Semibold" w:eastAsia="Times New Roman" w:hAnsi="Segoe UI Semibold" w:cs="Times New Roman"/>
          <w:color w:val="016295"/>
        </w:rPr>
      </w:pPr>
      <w:bookmarkStart w:id="39" w:name="_Toc25660813"/>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30</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Forest fragmentation 2009</w:t>
      </w:r>
      <w:bookmarkEnd w:id="39"/>
    </w:p>
    <w:tbl>
      <w:tblPr>
        <w:tblW w:w="8335" w:type="dxa"/>
        <w:tblInd w:w="10" w:type="dxa"/>
        <w:tblLayout w:type="fixed"/>
        <w:tblCellMar>
          <w:top w:w="85" w:type="dxa"/>
          <w:bottom w:w="85" w:type="dxa"/>
        </w:tblCellMar>
        <w:tblLook w:val="04A0" w:firstRow="1" w:lastRow="0" w:firstColumn="1" w:lastColumn="0" w:noHBand="0" w:noVBand="1"/>
      </w:tblPr>
      <w:tblGrid>
        <w:gridCol w:w="1815"/>
        <w:gridCol w:w="1304"/>
        <w:gridCol w:w="1304"/>
        <w:gridCol w:w="1304"/>
        <w:gridCol w:w="1304"/>
        <w:gridCol w:w="1304"/>
      </w:tblGrid>
      <w:tr w:rsidR="001743D6" w:rsidRPr="001743D6" w:rsidTr="00D06FDE">
        <w:trPr>
          <w:trHeight w:val="300"/>
        </w:trPr>
        <w:tc>
          <w:tcPr>
            <w:tcW w:w="1815" w:type="dxa"/>
            <w:shd w:val="clear" w:color="auto" w:fill="E2EFD9" w:themeFill="accent6" w:themeFillTint="33"/>
            <w:noWrap/>
            <w:tcMar>
              <w:top w:w="28" w:type="dxa"/>
              <w:bottom w:w="28" w:type="dxa"/>
            </w:tcMar>
          </w:tcPr>
          <w:p w:rsidR="001743D6" w:rsidRPr="001743D6" w:rsidRDefault="001743D6" w:rsidP="001743D6">
            <w:pPr>
              <w:spacing w:after="0"/>
              <w:rPr>
                <w:rFonts w:ascii="Segoe UI" w:hAnsi="Segoe UI" w:cs="Segoe UI"/>
                <w:bCs/>
                <w:sz w:val="19"/>
                <w:szCs w:val="19"/>
                <w:lang w:eastAsia="en-AU"/>
              </w:rPr>
            </w:pPr>
          </w:p>
        </w:tc>
        <w:tc>
          <w:tcPr>
            <w:tcW w:w="6520" w:type="dxa"/>
            <w:gridSpan w:val="5"/>
            <w:tcBorders>
              <w:bottom w:val="single" w:sz="8" w:space="0" w:color="auto"/>
            </w:tcBorders>
            <w:shd w:val="clear" w:color="auto" w:fill="E2EFD9" w:themeFill="accent6" w:themeFillTint="33"/>
            <w:tcMar>
              <w:top w:w="28" w:type="dxa"/>
              <w:bottom w:w="28" w:type="dxa"/>
            </w:tcMar>
          </w:tcPr>
          <w:p w:rsidR="001743D6" w:rsidRPr="001743D6" w:rsidRDefault="001743D6" w:rsidP="001743D6">
            <w:pPr>
              <w:spacing w:after="0" w:line="240" w:lineRule="auto"/>
              <w:jc w:val="center"/>
              <w:rPr>
                <w:rFonts w:ascii="Segoe UI" w:eastAsia="Calibri" w:hAnsi="Segoe UI" w:cs="Segoe UI"/>
                <w:b/>
                <w:sz w:val="19"/>
                <w:szCs w:val="19"/>
                <w:lang w:eastAsia="en-AU"/>
              </w:rPr>
            </w:pPr>
            <w:r w:rsidRPr="001743D6">
              <w:rPr>
                <w:rFonts w:ascii="Segoe UI" w:eastAsia="Calibri" w:hAnsi="Segoe UI" w:cs="Calibri"/>
                <w:sz w:val="19"/>
                <w:szCs w:val="19"/>
                <w:lang w:eastAsia="en-AU"/>
              </w:rPr>
              <w:t>Forest fragmentation 2009</w:t>
            </w:r>
          </w:p>
        </w:tc>
      </w:tr>
      <w:tr w:rsidR="001743D6" w:rsidRPr="001743D6" w:rsidTr="00D06FDE">
        <w:trPr>
          <w:trHeight w:val="300"/>
        </w:trPr>
        <w:tc>
          <w:tcPr>
            <w:tcW w:w="1815" w:type="dxa"/>
            <w:tcBorders>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RFA region</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Patch</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Transitional</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Edge</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Perforated</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Interior</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r>
      <w:tr w:rsidR="001743D6" w:rsidRPr="001743D6" w:rsidTr="00D06FDE">
        <w:trPr>
          <w:trHeight w:val="340"/>
        </w:trPr>
        <w:tc>
          <w:tcPr>
            <w:tcW w:w="181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15,600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22,600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81,900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29,400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590,200 </w:t>
            </w:r>
          </w:p>
        </w:tc>
      </w:tr>
      <w:tr w:rsidR="001743D6" w:rsidRPr="001743D6" w:rsidTr="00D06FDE">
        <w:trPr>
          <w:trHeight w:val="340"/>
        </w:trPr>
        <w:tc>
          <w:tcPr>
            <w:tcW w:w="181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5,300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9,900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56,400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28,400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1,003,500 </w:t>
            </w:r>
          </w:p>
        </w:tc>
      </w:tr>
      <w:tr w:rsidR="001743D6" w:rsidRPr="001743D6" w:rsidTr="00D06FDE">
        <w:trPr>
          <w:trHeight w:val="340"/>
        </w:trPr>
        <w:tc>
          <w:tcPr>
            <w:tcW w:w="181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33,100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39,800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165,700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82,200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1,273,300 </w:t>
            </w:r>
          </w:p>
        </w:tc>
      </w:tr>
      <w:tr w:rsidR="001743D6" w:rsidRPr="001743D6" w:rsidTr="00D06FDE">
        <w:trPr>
          <w:trHeight w:val="340"/>
        </w:trPr>
        <w:tc>
          <w:tcPr>
            <w:tcW w:w="181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25,500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35,500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141,800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62,900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1,068,800 </w:t>
            </w:r>
          </w:p>
        </w:tc>
      </w:tr>
      <w:tr w:rsidR="001743D6" w:rsidRPr="001743D6" w:rsidTr="00D06FDE">
        <w:trPr>
          <w:trHeight w:val="340"/>
        </w:trPr>
        <w:tc>
          <w:tcPr>
            <w:tcW w:w="1815"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62,100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75,300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267,400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100,300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828,000 </w:t>
            </w:r>
          </w:p>
        </w:tc>
      </w:tr>
      <w:tr w:rsidR="001743D6" w:rsidRPr="001743D6" w:rsidTr="00D06FDE">
        <w:trPr>
          <w:trHeight w:val="340"/>
        </w:trPr>
        <w:tc>
          <w:tcPr>
            <w:tcW w:w="1815" w:type="dxa"/>
            <w:tcBorders>
              <w:top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141,600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183,100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713,200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303,200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4,763,800 </w:t>
            </w:r>
          </w:p>
        </w:tc>
      </w:tr>
    </w:tbl>
    <w:p w:rsidR="001743D6" w:rsidRPr="001743D6" w:rsidRDefault="001743D6" w:rsidP="001743D6">
      <w:pPr>
        <w:rPr>
          <w:rFonts w:ascii="Segoe UI" w:hAnsi="Segoe UI" w:cs="Segoe UI"/>
          <w:sz w:val="16"/>
          <w:szCs w:val="16"/>
        </w:rPr>
      </w:pPr>
    </w:p>
    <w:p w:rsidR="001743D6" w:rsidRPr="001743D6" w:rsidRDefault="001743D6" w:rsidP="001743D6">
      <w:pPr>
        <w:rPr>
          <w:rFonts w:ascii="Segoe UI" w:hAnsi="Segoe UI" w:cs="Segoe UI"/>
          <w:sz w:val="16"/>
          <w:szCs w:val="16"/>
        </w:rPr>
      </w:pPr>
      <w:r w:rsidRPr="001743D6">
        <w:rPr>
          <w:rFonts w:ascii="Segoe UI" w:hAnsi="Segoe UI" w:cs="Segoe UI"/>
          <w:sz w:val="16"/>
          <w:szCs w:val="16"/>
        </w:rPr>
        <w:t>Source: DELWP Corporate data (unpublished)</w:t>
      </w:r>
    </w:p>
    <w:p w:rsidR="001743D6" w:rsidRPr="001743D6" w:rsidRDefault="001743D6" w:rsidP="001743D6">
      <w:pPr>
        <w:rPr>
          <w:rFonts w:ascii="Segoe UI" w:hAnsi="Segoe UI" w:cs="Segoe UI"/>
        </w:rPr>
      </w:pPr>
      <w:r w:rsidRPr="001743D6">
        <w:rPr>
          <w:rFonts w:ascii="Segoe UI" w:hAnsi="Segoe UI" w:cs="Segoe UI"/>
        </w:rPr>
        <w:br w:type="page"/>
      </w:r>
    </w:p>
    <w:p w:rsidR="001743D6" w:rsidRPr="001743D6" w:rsidRDefault="001743D6" w:rsidP="001743D6">
      <w:pPr>
        <w:spacing w:after="200" w:line="240" w:lineRule="auto"/>
        <w:rPr>
          <w:rFonts w:ascii="Segoe UI Semibold" w:eastAsia="Times New Roman" w:hAnsi="Segoe UI Semibold" w:cs="Times New Roman"/>
          <w:color w:val="016295"/>
        </w:rPr>
      </w:pPr>
      <w:bookmarkStart w:id="40" w:name="_Toc25660814"/>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31</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xml:space="preserve">: </w:t>
      </w:r>
      <w:r w:rsidRPr="001743D6">
        <w:rPr>
          <w:rFonts w:ascii="Segoe UI Semibold" w:eastAsia="Times New Roman" w:hAnsi="Segoe UI Semibold" w:cs="Times New Roman"/>
          <w:color w:val="016295"/>
          <w:lang w:eastAsia="en-AU"/>
        </w:rPr>
        <w:t>Forest fragmentation 2013</w:t>
      </w:r>
      <w:bookmarkEnd w:id="40"/>
    </w:p>
    <w:tbl>
      <w:tblPr>
        <w:tblW w:w="8334" w:type="dxa"/>
        <w:tblCellMar>
          <w:top w:w="85" w:type="dxa"/>
          <w:bottom w:w="85" w:type="dxa"/>
        </w:tblCellMar>
        <w:tblLook w:val="04A0" w:firstRow="1" w:lastRow="0" w:firstColumn="1" w:lastColumn="0" w:noHBand="0" w:noVBand="1"/>
      </w:tblPr>
      <w:tblGrid>
        <w:gridCol w:w="1814"/>
        <w:gridCol w:w="1304"/>
        <w:gridCol w:w="1304"/>
        <w:gridCol w:w="1304"/>
        <w:gridCol w:w="1304"/>
        <w:gridCol w:w="1304"/>
      </w:tblGrid>
      <w:tr w:rsidR="001743D6" w:rsidRPr="001743D6" w:rsidTr="00D06FDE">
        <w:trPr>
          <w:trHeight w:val="300"/>
        </w:trPr>
        <w:tc>
          <w:tcPr>
            <w:tcW w:w="1814" w:type="dxa"/>
            <w:shd w:val="clear" w:color="auto" w:fill="E2EFD9" w:themeFill="accent6" w:themeFillTint="33"/>
            <w:noWrap/>
            <w:tcMar>
              <w:top w:w="28" w:type="dxa"/>
              <w:bottom w:w="28" w:type="dxa"/>
            </w:tcMar>
          </w:tcPr>
          <w:p w:rsidR="001743D6" w:rsidRPr="001743D6" w:rsidRDefault="001743D6" w:rsidP="001743D6">
            <w:pPr>
              <w:spacing w:after="0"/>
              <w:jc w:val="center"/>
              <w:rPr>
                <w:rFonts w:ascii="Segoe UI" w:hAnsi="Segoe UI" w:cs="Segoe UI"/>
                <w:b/>
                <w:bCs/>
                <w:sz w:val="19"/>
                <w:szCs w:val="19"/>
              </w:rPr>
            </w:pPr>
          </w:p>
        </w:tc>
        <w:tc>
          <w:tcPr>
            <w:tcW w:w="6520" w:type="dxa"/>
            <w:gridSpan w:val="5"/>
            <w:tcBorders>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Forest fragmentation 2013</w:t>
            </w:r>
          </w:p>
        </w:tc>
      </w:tr>
      <w:tr w:rsidR="001743D6" w:rsidRPr="001743D6" w:rsidTr="00D06FDE">
        <w:trPr>
          <w:trHeight w:val="300"/>
        </w:trPr>
        <w:tc>
          <w:tcPr>
            <w:tcW w:w="1814" w:type="dxa"/>
            <w:tcBorders>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RFA region</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Patch</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Transitional</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Edge</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Perforated</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c>
          <w:tcPr>
            <w:tcW w:w="1304" w:type="dxa"/>
            <w:tcBorders>
              <w:top w:val="single" w:sz="8" w:space="0" w:color="auto"/>
              <w:bottom w:val="single" w:sz="8" w:space="0" w:color="auto"/>
            </w:tcBorders>
            <w:shd w:val="clear" w:color="auto" w:fill="E2EFD9" w:themeFill="accent6" w:themeFillTint="33"/>
            <w:noWrap/>
            <w:tcMar>
              <w:top w:w="28" w:type="dxa"/>
              <w:bottom w:w="28" w:type="dxa"/>
            </w:tcMar>
            <w:hideMark/>
          </w:tcPr>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Interior</w:t>
            </w:r>
          </w:p>
          <w:p w:rsidR="001743D6" w:rsidRPr="001743D6" w:rsidRDefault="001743D6" w:rsidP="001743D6">
            <w:pPr>
              <w:spacing w:after="0" w:line="240" w:lineRule="auto"/>
              <w:jc w:val="center"/>
              <w:rPr>
                <w:rFonts w:ascii="Segoe UI" w:eastAsia="Calibri" w:hAnsi="Segoe UI" w:cs="Calibri"/>
                <w:sz w:val="19"/>
                <w:szCs w:val="19"/>
                <w:lang w:eastAsia="en-AU"/>
              </w:rPr>
            </w:pPr>
            <w:r w:rsidRPr="001743D6">
              <w:rPr>
                <w:rFonts w:ascii="Segoe UI" w:eastAsia="Calibri" w:hAnsi="Segoe UI" w:cs="Calibri"/>
                <w:sz w:val="19"/>
                <w:szCs w:val="19"/>
                <w:lang w:eastAsia="en-AU"/>
              </w:rPr>
              <w:t>(ha)</w:t>
            </w:r>
          </w:p>
        </w:tc>
      </w:tr>
      <w:tr w:rsidR="001743D6" w:rsidRPr="001743D6" w:rsidTr="00D06FDE">
        <w:trPr>
          <w:trHeight w:val="340"/>
        </w:trPr>
        <w:tc>
          <w:tcPr>
            <w:tcW w:w="1814"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Central Highlands</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17,800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22,100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76,900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29,000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590,400 </w:t>
            </w:r>
          </w:p>
        </w:tc>
      </w:tr>
      <w:tr w:rsidR="001743D6" w:rsidRPr="001743D6" w:rsidTr="00D06FDE">
        <w:trPr>
          <w:trHeight w:val="340"/>
        </w:trPr>
        <w:tc>
          <w:tcPr>
            <w:tcW w:w="1814"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 Gippsland</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4,500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8,700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50,200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27,600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1,019,700 </w:t>
            </w:r>
          </w:p>
        </w:tc>
      </w:tr>
      <w:tr w:rsidR="001743D6" w:rsidRPr="001743D6" w:rsidTr="00D06FDE">
        <w:trPr>
          <w:trHeight w:val="340"/>
        </w:trPr>
        <w:tc>
          <w:tcPr>
            <w:tcW w:w="1814"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31,100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37,800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146,000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72,400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1,339,400 </w:t>
            </w:r>
          </w:p>
        </w:tc>
      </w:tr>
      <w:tr w:rsidR="001743D6" w:rsidRPr="001743D6" w:rsidTr="00D06FDE">
        <w:trPr>
          <w:trHeight w:val="340"/>
        </w:trPr>
        <w:tc>
          <w:tcPr>
            <w:tcW w:w="1814"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North East</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24,400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32,200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123,600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54,700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1,096,500 </w:t>
            </w:r>
          </w:p>
        </w:tc>
      </w:tr>
      <w:tr w:rsidR="001743D6" w:rsidRPr="001743D6" w:rsidTr="00D06FDE">
        <w:trPr>
          <w:trHeight w:val="340"/>
        </w:trPr>
        <w:tc>
          <w:tcPr>
            <w:tcW w:w="1814" w:type="dxa"/>
            <w:tcBorders>
              <w:top w:val="single" w:sz="8" w:space="0" w:color="auto"/>
              <w:bottom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West</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62,400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74,400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259,900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99,200 </w:t>
            </w:r>
          </w:p>
        </w:tc>
        <w:tc>
          <w:tcPr>
            <w:tcW w:w="1304" w:type="dxa"/>
            <w:tcBorders>
              <w:top w:val="single" w:sz="8" w:space="0" w:color="auto"/>
              <w:bottom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873,000 </w:t>
            </w:r>
          </w:p>
        </w:tc>
      </w:tr>
      <w:tr w:rsidR="001743D6" w:rsidRPr="001743D6" w:rsidTr="00D06FDE">
        <w:trPr>
          <w:trHeight w:val="340"/>
        </w:trPr>
        <w:tc>
          <w:tcPr>
            <w:tcW w:w="1814" w:type="dxa"/>
            <w:tcBorders>
              <w:top w:val="single" w:sz="8" w:space="0" w:color="auto"/>
            </w:tcBorders>
            <w:noWrap/>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Non-RFA</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140,200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175,200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656,600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282,900 </w:t>
            </w:r>
          </w:p>
        </w:tc>
        <w:tc>
          <w:tcPr>
            <w:tcW w:w="1304" w:type="dxa"/>
            <w:tcBorders>
              <w:top w:val="single" w:sz="8" w:space="0" w:color="auto"/>
            </w:tcBorders>
            <w:noWrap/>
            <w:hideMark/>
          </w:tcPr>
          <w:p w:rsidR="001743D6" w:rsidRPr="001743D6" w:rsidRDefault="001743D6" w:rsidP="001743D6">
            <w:pPr>
              <w:spacing w:before="20" w:after="0" w:line="240" w:lineRule="auto"/>
              <w:jc w:val="right"/>
              <w:rPr>
                <w:rFonts w:ascii="Segoe UI" w:eastAsia="Calibri" w:hAnsi="Segoe UI" w:cs="Calibri"/>
                <w:color w:val="000000"/>
                <w:sz w:val="19"/>
                <w:szCs w:val="19"/>
                <w:lang w:eastAsia="en-AU"/>
              </w:rPr>
            </w:pPr>
            <w:r w:rsidRPr="001743D6">
              <w:rPr>
                <w:rFonts w:ascii="Segoe UI" w:eastAsia="Calibri" w:hAnsi="Segoe UI" w:cs="Calibri"/>
                <w:color w:val="000000"/>
                <w:sz w:val="19"/>
                <w:szCs w:val="19"/>
                <w:lang w:eastAsia="en-AU"/>
              </w:rPr>
              <w:t xml:space="preserve">4,919,000 </w:t>
            </w:r>
          </w:p>
        </w:tc>
      </w:tr>
    </w:tbl>
    <w:p w:rsidR="001743D6" w:rsidRPr="001743D6" w:rsidRDefault="001743D6" w:rsidP="001743D6">
      <w:pPr>
        <w:rPr>
          <w:rFonts w:ascii="Segoe UI" w:hAnsi="Segoe UI" w:cs="Segoe UI"/>
          <w:sz w:val="18"/>
          <w:szCs w:val="18"/>
        </w:rPr>
      </w:pPr>
      <w:bookmarkStart w:id="41" w:name="_Toc11768311"/>
    </w:p>
    <w:p w:rsidR="001743D6" w:rsidRPr="001743D6" w:rsidRDefault="001743D6" w:rsidP="001743D6">
      <w:pPr>
        <w:rPr>
          <w:rFonts w:ascii="Segoe UI" w:hAnsi="Segoe UI" w:cs="Segoe UI"/>
          <w:sz w:val="18"/>
          <w:szCs w:val="18"/>
        </w:rPr>
      </w:pPr>
      <w:r w:rsidRPr="001743D6">
        <w:rPr>
          <w:rFonts w:ascii="Segoe UI" w:hAnsi="Segoe UI" w:cs="Segoe UI"/>
          <w:sz w:val="18"/>
          <w:szCs w:val="18"/>
        </w:rPr>
        <w:t>Source: DELWP Corporate data (unpublished)</w:t>
      </w:r>
    </w:p>
    <w:p w:rsidR="001743D6" w:rsidRPr="001743D6" w:rsidRDefault="001743D6" w:rsidP="001743D6">
      <w:pPr>
        <w:rPr>
          <w:rFonts w:ascii="Segoe UI" w:hAnsi="Segoe UI" w:cs="Segoe UI"/>
          <w:b/>
          <w:color w:val="000000"/>
          <w:sz w:val="24"/>
          <w:szCs w:val="24"/>
        </w:rPr>
      </w:pPr>
      <w:r w:rsidRPr="001743D6">
        <w:rPr>
          <w:rFonts w:ascii="Segoe UI" w:hAnsi="Segoe UI" w:cs="Segoe UI"/>
        </w:rPr>
        <w:br w:type="page"/>
      </w:r>
    </w:p>
    <w:p w:rsidR="001743D6" w:rsidRPr="001743D6" w:rsidRDefault="001743D6" w:rsidP="001743D6">
      <w:pPr>
        <w:keepNext/>
        <w:spacing w:before="240" w:after="240" w:line="240" w:lineRule="auto"/>
        <w:outlineLvl w:val="2"/>
        <w:rPr>
          <w:rFonts w:ascii="Segoe UI" w:hAnsi="Segoe UI" w:cs="Segoe UI"/>
          <w:b/>
          <w:color w:val="000000"/>
          <w:sz w:val="24"/>
          <w:szCs w:val="24"/>
        </w:rPr>
      </w:pPr>
      <w:bookmarkStart w:id="42" w:name="_Toc30491993"/>
      <w:bookmarkStart w:id="43" w:name="_Toc33002090"/>
      <w:bookmarkStart w:id="44" w:name="_Hlk27640256"/>
      <w:r w:rsidRPr="001743D6">
        <w:rPr>
          <w:rFonts w:ascii="Segoe UI" w:hAnsi="Segoe UI" w:cs="Segoe UI"/>
          <w:b/>
          <w:color w:val="000000"/>
          <w:sz w:val="24"/>
          <w:szCs w:val="24"/>
        </w:rPr>
        <w:t>Indicator 1.2a Forest-dwelling species for which ecological information is available</w:t>
      </w:r>
      <w:bookmarkEnd w:id="41"/>
      <w:bookmarkEnd w:id="42"/>
      <w:bookmarkEnd w:id="43"/>
      <w:r w:rsidRPr="001743D6">
        <w:rPr>
          <w:rFonts w:ascii="Segoe UI" w:hAnsi="Segoe UI" w:cs="Segoe UI"/>
          <w:b/>
          <w:color w:val="000000"/>
          <w:sz w:val="24"/>
          <w:szCs w:val="24"/>
        </w:rPr>
        <w:t xml:space="preserve"> </w:t>
      </w:r>
    </w:p>
    <w:bookmarkEnd w:id="44"/>
    <w:p w:rsidR="001743D6" w:rsidRPr="001743D6" w:rsidRDefault="001743D6" w:rsidP="001743D6">
      <w:pPr>
        <w:jc w:val="both"/>
        <w:rPr>
          <w:rFonts w:ascii="Segoe UI" w:hAnsi="Segoe UI" w:cs="Segoe UI"/>
        </w:rPr>
      </w:pPr>
      <w:r w:rsidRPr="001743D6">
        <w:rPr>
          <w:rFonts w:ascii="Segoe UI" w:hAnsi="Segoe UI" w:cs="Segoe UI"/>
        </w:rPr>
        <w:t xml:space="preserve">This indicator reports the level of information available to manage forest-dwelling species and tracks changes in this knowledge over time. The amount of habitat, disturbance and life history information available to make management decisions indicates the capacity to assess risk to species and implement conservation strategies. The following section outlines the key information sources in Victoria and summarises information where available. </w:t>
      </w:r>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 xml:space="preserve">Victorian Biodiversity Atlas </w:t>
      </w:r>
    </w:p>
    <w:p w:rsidR="001743D6" w:rsidRPr="001743D6" w:rsidRDefault="001743D6" w:rsidP="001743D6">
      <w:pPr>
        <w:jc w:val="both"/>
        <w:rPr>
          <w:rFonts w:ascii="Segoe UI" w:hAnsi="Segoe UI" w:cs="Segoe UI"/>
        </w:rPr>
      </w:pPr>
      <w:r w:rsidRPr="001743D6">
        <w:rPr>
          <w:rFonts w:ascii="Segoe UI" w:hAnsi="Segoe UI" w:cs="Segoe UI"/>
        </w:rPr>
        <w:t>The VBA species observations is a foundation dataset that feeds into some of the many biodiversity tools used in DELWP’s everyday decision-making, showing where wildlife is now and how this has changed over time. This makes it a core input to the majority of the government processes and programs that impact native species. It is used in conservation status assessments, HDMs that feed into the Strategic Management Prospects and Native Vegetation Removal Regulations and into our public land management, research activities and State of the Environment reporting.</w:t>
      </w:r>
    </w:p>
    <w:p w:rsidR="001743D6" w:rsidRPr="001743D6" w:rsidRDefault="001743D6" w:rsidP="001743D6">
      <w:pPr>
        <w:jc w:val="both"/>
        <w:rPr>
          <w:rFonts w:ascii="Segoe UI" w:hAnsi="Segoe UI" w:cs="Segoe UI"/>
        </w:rPr>
      </w:pPr>
      <w:r w:rsidRPr="001743D6">
        <w:rPr>
          <w:rFonts w:ascii="Segoe UI" w:hAnsi="Segoe UI" w:cs="Segoe UI"/>
        </w:rPr>
        <w:t xml:space="preserve">The VBA dataset is collated from a wide range of contributors including DELWP biodiversity staff, government agencies and partner organisations, non-government organisations such as </w:t>
      </w:r>
      <w:proofErr w:type="spellStart"/>
      <w:r w:rsidRPr="001743D6">
        <w:rPr>
          <w:rFonts w:ascii="Segoe UI" w:hAnsi="Segoe UI" w:cs="Segoe UI"/>
        </w:rPr>
        <w:t>BirdLife</w:t>
      </w:r>
      <w:proofErr w:type="spellEnd"/>
      <w:r w:rsidRPr="001743D6">
        <w:rPr>
          <w:rFonts w:ascii="Segoe UI" w:hAnsi="Segoe UI" w:cs="Segoe UI"/>
        </w:rPr>
        <w:t xml:space="preserve"> Australia, ecological consultancies, university students and the many and varied community wildlife survey groups and individuals. </w:t>
      </w:r>
    </w:p>
    <w:p w:rsidR="001743D6" w:rsidRPr="001743D6" w:rsidRDefault="001743D6" w:rsidP="001743D6">
      <w:pPr>
        <w:jc w:val="both"/>
        <w:rPr>
          <w:rFonts w:ascii="Segoe UI" w:hAnsi="Segoe UI" w:cs="Segoe UI"/>
        </w:rPr>
      </w:pPr>
      <w:r w:rsidRPr="001743D6">
        <w:rPr>
          <w:rFonts w:ascii="Segoe UI" w:hAnsi="Segoe UI" w:cs="Segoe UI"/>
        </w:rPr>
        <w:t>The majority of the data is from project-based work where structured surveys were undertaken to assess presence or abundance of targeted species. It also includes all the records from previous department-managed datasets such as the Victorian Rare and Threatened Plant Population monitoring database (</w:t>
      </w:r>
      <w:proofErr w:type="spellStart"/>
      <w:r w:rsidRPr="001743D6">
        <w:rPr>
          <w:rFonts w:ascii="Segoe UI" w:hAnsi="Segoe UI" w:cs="Segoe UI"/>
        </w:rPr>
        <w:t>VROTpop</w:t>
      </w:r>
      <w:proofErr w:type="spellEnd"/>
      <w:r w:rsidRPr="001743D6">
        <w:rPr>
          <w:rFonts w:ascii="Segoe UI" w:hAnsi="Segoe UI" w:cs="Segoe UI"/>
        </w:rPr>
        <w:t xml:space="preserve">). </w:t>
      </w:r>
    </w:p>
    <w:p w:rsidR="001743D6" w:rsidRPr="001743D6" w:rsidRDefault="001743D6" w:rsidP="001743D6">
      <w:pPr>
        <w:jc w:val="both"/>
        <w:rPr>
          <w:rFonts w:ascii="Segoe UI" w:hAnsi="Segoe UI" w:cs="Segoe UI"/>
        </w:rPr>
      </w:pPr>
      <w:r w:rsidRPr="001743D6">
        <w:rPr>
          <w:rFonts w:ascii="Segoe UI" w:hAnsi="Segoe UI" w:cs="Segoe UI"/>
        </w:rPr>
        <w:t xml:space="preserve">As part of the RFA modernisation program, landscape scale surveys are being conducted to collect new field data on high-priority forest-dependent threatened species (both presence and true absence data), which will be stored in the VBA and inform forest management. This process is described in the case study </w:t>
      </w:r>
      <w:r w:rsidRPr="001743D6">
        <w:rPr>
          <w:rFonts w:ascii="Segoe UI" w:hAnsi="Segoe UI" w:cs="Segoe UI"/>
        </w:rPr>
        <w:fldChar w:fldCharType="begin"/>
      </w:r>
      <w:r w:rsidRPr="001743D6">
        <w:rPr>
          <w:rFonts w:ascii="Segoe UI" w:hAnsi="Segoe UI" w:cs="Segoe UI"/>
        </w:rPr>
        <w:instrText xml:space="preserve"> REF _Ref19868883 \p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below</w:t>
      </w:r>
      <w:r w:rsidRPr="001743D6">
        <w:rPr>
          <w:rFonts w:ascii="Segoe UI" w:hAnsi="Segoe UI" w:cs="Segoe UI"/>
        </w:rPr>
        <w:fldChar w:fldCharType="end"/>
      </w:r>
      <w:r w:rsidRPr="001743D6">
        <w:rPr>
          <w:rFonts w:ascii="Segoe UI" w:hAnsi="Segoe UI" w:cs="Segoe UI"/>
        </w:rPr>
        <w:t xml:space="preserve"> on page </w:t>
      </w:r>
      <w:r w:rsidRPr="001743D6">
        <w:rPr>
          <w:rFonts w:ascii="Segoe UI" w:hAnsi="Segoe UI" w:cs="Segoe UI"/>
        </w:rPr>
        <w:fldChar w:fldCharType="begin"/>
      </w:r>
      <w:r w:rsidRPr="001743D6">
        <w:rPr>
          <w:rFonts w:ascii="Segoe UI" w:hAnsi="Segoe UI" w:cs="Segoe UI"/>
        </w:rPr>
        <w:instrText xml:space="preserve"> PAGEREF _Ref19868883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noProof/>
        </w:rPr>
        <w:t>102</w:t>
      </w:r>
      <w:r w:rsidRPr="001743D6">
        <w:rPr>
          <w:rFonts w:ascii="Segoe UI" w:hAnsi="Segoe UI" w:cs="Segoe UI"/>
        </w:rPr>
        <w:fldChar w:fldCharType="end"/>
      </w:r>
      <w:r w:rsidRPr="001743D6">
        <w:rPr>
          <w:rFonts w:ascii="Segoe UI" w:hAnsi="Segoe UI" w:cs="Segoe UI"/>
        </w:rPr>
        <w:t>.</w:t>
      </w:r>
    </w:p>
    <w:p w:rsidR="001743D6" w:rsidRPr="001743D6" w:rsidRDefault="001743D6" w:rsidP="001743D6">
      <w:pPr>
        <w:jc w:val="both"/>
        <w:rPr>
          <w:rFonts w:ascii="Segoe UI" w:hAnsi="Segoe UI" w:cs="Segoe UI"/>
        </w:rPr>
      </w:pPr>
      <w:r w:rsidRPr="001743D6">
        <w:rPr>
          <w:rFonts w:ascii="Segoe UI" w:hAnsi="Segoe UI" w:cs="Segoe UI"/>
        </w:rPr>
        <w:t xml:space="preserve">In addition, as part of the Forest Protection Survey Program, surveys are being undertaken in planned timber harvesting areas in State forests in eastern Victoria. These surveys collect data on plants; arboreal and terrestrial mammals; some bird species, frogs, fish and crayfish; and vegetation communities prior to the commencement of harvesting operations. A target of 80% coupes are planned to be surveyed prior to harvesting. The </w:t>
      </w:r>
      <w:proofErr w:type="spellStart"/>
      <w:r w:rsidRPr="001743D6">
        <w:rPr>
          <w:rFonts w:ascii="Segoe UI" w:hAnsi="Segoe UI" w:cs="Segoe UI"/>
        </w:rPr>
        <w:t>VicForests</w:t>
      </w:r>
      <w:proofErr w:type="spellEnd"/>
      <w:r w:rsidRPr="001743D6">
        <w:rPr>
          <w:rFonts w:ascii="Segoe UI" w:hAnsi="Segoe UI" w:cs="Segoe UI"/>
        </w:rPr>
        <w:t xml:space="preserve">’ Rolling Operations Plan provides the basic information about what is planned to be harvested and where. This information, along with a wide range of other information such as HDMs and species lists, is used to help prioritise what species will be surveyed where and when. The proposed harvest date is used by DELWP to prioritise the timing and location of surveys. Observations from this survey program will be stored in the VBA. </w:t>
      </w:r>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 xml:space="preserve">Habitat distribution models </w:t>
      </w:r>
    </w:p>
    <w:p w:rsidR="001743D6" w:rsidRPr="001743D6" w:rsidRDefault="001743D6" w:rsidP="001743D6">
      <w:pPr>
        <w:jc w:val="both"/>
        <w:rPr>
          <w:rFonts w:ascii="Segoe UI" w:hAnsi="Segoe UI" w:cs="Segoe UI"/>
        </w:rPr>
      </w:pPr>
      <w:r w:rsidRPr="001743D6">
        <w:rPr>
          <w:rFonts w:ascii="Segoe UI" w:hAnsi="Segoe UI" w:cs="Segoe UI"/>
        </w:rPr>
        <w:t xml:space="preserve">Information that aids in understanding the distribution of the habitat for plant and animal species in Victoria is essential for conservation management. This information becomes critical for rare or threatened taxa. </w:t>
      </w:r>
    </w:p>
    <w:p w:rsidR="001743D6" w:rsidRPr="001743D6" w:rsidRDefault="001743D6" w:rsidP="001743D6">
      <w:pPr>
        <w:jc w:val="both"/>
        <w:rPr>
          <w:rFonts w:ascii="Segoe UI" w:hAnsi="Segoe UI" w:cs="Segoe UI"/>
        </w:rPr>
      </w:pPr>
      <w:r w:rsidRPr="001743D6">
        <w:rPr>
          <w:rFonts w:ascii="Segoe UI" w:hAnsi="Segoe UI" w:cs="Segoe UI"/>
        </w:rPr>
        <w:t xml:space="preserve">Fauna and flora species have different habitat requirements. They need a place to live and reproduce. They also need to tolerate changes in the weather, and flood and fire disturbances. As a result of these different needs, species are found in different locations across the landscape. Some species have highly specific habitat requirements (such as the Mountain Pygmy-possum), while others can thrive in a number of different habitat types (such as the Australian Magpie). </w:t>
      </w:r>
    </w:p>
    <w:p w:rsidR="001743D6" w:rsidRPr="001743D6" w:rsidRDefault="001743D6" w:rsidP="001743D6">
      <w:pPr>
        <w:jc w:val="both"/>
        <w:rPr>
          <w:rFonts w:ascii="Segoe UI" w:hAnsi="Segoe UI" w:cs="Segoe UI"/>
        </w:rPr>
      </w:pPr>
      <w:r w:rsidRPr="001743D6">
        <w:rPr>
          <w:rFonts w:ascii="Segoe UI" w:hAnsi="Segoe UI" w:cs="Segoe UI"/>
        </w:rPr>
        <w:t xml:space="preserve">Habitat distribution models collect and compare information on where a species has been recorded. They relate that data to environmental variables, such as soil, prevailing climate and topography. Sophisticated statistical and mathematical processes are then used to estimate the distribution of a species’ habitat. The HDMs do not predict whether or not a species currently occupies the habitat at a particular location. Many factors can influence whether a species is present in the habitat at any given time, including: biogeography, size of the habitat patch and distance from other suitable habitat, natural disturbance cycles, historic catastrophes, the impact of predators or disease and seasonal factors (DELWP 2017a). </w:t>
      </w:r>
    </w:p>
    <w:p w:rsidR="001743D6" w:rsidRPr="001743D6" w:rsidRDefault="001743D6" w:rsidP="001743D6">
      <w:pPr>
        <w:jc w:val="both"/>
        <w:rPr>
          <w:rFonts w:ascii="Segoe UI" w:hAnsi="Segoe UI" w:cs="Segoe UI"/>
        </w:rPr>
      </w:pPr>
      <w:r w:rsidRPr="001743D6">
        <w:rPr>
          <w:rFonts w:ascii="Segoe UI" w:hAnsi="Segoe UI" w:cs="Segoe UI"/>
        </w:rPr>
        <w:t xml:space="preserve">Since the first RFA was signed in 1997, HDMs have been developed for all rare or threatened Victorian species where sufficient data is available. This information has been used to inform biodiversity decision-making, native vegetation clearing regulations and guide cost-effective investment decisions (see </w:t>
      </w:r>
      <w:r w:rsidRPr="001743D6">
        <w:rPr>
          <w:rFonts w:ascii="Segoe UI" w:hAnsi="Segoe UI" w:cs="Segoe UI"/>
        </w:rPr>
        <w:fldChar w:fldCharType="begin"/>
      </w:r>
      <w:r w:rsidRPr="001743D6">
        <w:rPr>
          <w:rFonts w:ascii="Segoe UI" w:hAnsi="Segoe UI" w:cs="Segoe UI"/>
        </w:rPr>
        <w:instrText xml:space="preserve"> REF _Ref25765889 \h </w:instrText>
      </w:r>
      <w:r w:rsidRPr="001743D6">
        <w:rPr>
          <w:rFonts w:ascii="Segoe UI" w:hAnsi="Segoe UI" w:cs="Segoe UI"/>
        </w:rPr>
      </w:r>
      <w:r w:rsidRPr="001743D6">
        <w:rPr>
          <w:rFonts w:ascii="Segoe UI" w:hAnsi="Segoe UI" w:cs="Segoe UI"/>
        </w:rPr>
        <w:fldChar w:fldCharType="separate"/>
      </w:r>
      <w:proofErr w:type="spellStart"/>
      <w:r w:rsidRPr="001743D6">
        <w:rPr>
          <w:rFonts w:ascii="Segoe UI" w:hAnsi="Segoe UI" w:cs="Segoe UI"/>
        </w:rPr>
        <w:t>NaturePrint</w:t>
      </w:r>
      <w:proofErr w:type="spellEnd"/>
      <w:r w:rsidRPr="001743D6">
        <w:rPr>
          <w:rFonts w:ascii="Segoe UI" w:hAnsi="Segoe UI" w:cs="Segoe UI"/>
        </w:rPr>
        <w:t xml:space="preserve"> and Strategic Management Prospects</w:t>
      </w:r>
      <w:r w:rsidRPr="001743D6">
        <w:rPr>
          <w:rFonts w:ascii="Segoe UI" w:hAnsi="Segoe UI" w:cs="Segoe UI"/>
        </w:rPr>
        <w:fldChar w:fldCharType="end"/>
      </w:r>
      <w:r w:rsidRPr="001743D6">
        <w:rPr>
          <w:rFonts w:ascii="Segoe UI" w:hAnsi="Segoe UI" w:cs="Segoe UI"/>
        </w:rPr>
        <w:t xml:space="preserve">). </w:t>
      </w:r>
    </w:p>
    <w:p w:rsidR="001743D6" w:rsidRPr="001743D6" w:rsidRDefault="001743D6" w:rsidP="001743D6">
      <w:pPr>
        <w:jc w:val="both"/>
        <w:rPr>
          <w:rFonts w:ascii="Segoe UI" w:hAnsi="Segoe UI" w:cs="Segoe UI"/>
        </w:rPr>
      </w:pPr>
      <w:r w:rsidRPr="001743D6">
        <w:rPr>
          <w:rFonts w:ascii="Segoe UI" w:hAnsi="Segoe UI" w:cs="Segoe UI"/>
        </w:rPr>
        <w:t>Examples of HDMs for the Greater Glider (</w:t>
      </w:r>
      <w:proofErr w:type="spellStart"/>
      <w:r w:rsidRPr="001743D6">
        <w:rPr>
          <w:rFonts w:ascii="Segoe UI" w:hAnsi="Segoe UI" w:cs="Segoe UI"/>
          <w:i/>
        </w:rPr>
        <w:t>Petauroides</w:t>
      </w:r>
      <w:proofErr w:type="spellEnd"/>
      <w:r w:rsidRPr="001743D6">
        <w:rPr>
          <w:rFonts w:ascii="Segoe UI" w:hAnsi="Segoe UI" w:cs="Segoe UI"/>
          <w:i/>
        </w:rPr>
        <w:t xml:space="preserve"> </w:t>
      </w:r>
      <w:proofErr w:type="spellStart"/>
      <w:r w:rsidRPr="001743D6">
        <w:rPr>
          <w:rFonts w:ascii="Segoe UI" w:hAnsi="Segoe UI" w:cs="Segoe UI"/>
          <w:i/>
        </w:rPr>
        <w:t>volans</w:t>
      </w:r>
      <w:proofErr w:type="spellEnd"/>
      <w:r w:rsidRPr="001743D6">
        <w:rPr>
          <w:rFonts w:ascii="Segoe UI" w:hAnsi="Segoe UI" w:cs="Segoe UI"/>
        </w:rPr>
        <w:t>), Sooty Owl (</w:t>
      </w:r>
      <w:proofErr w:type="spellStart"/>
      <w:r w:rsidRPr="001743D6">
        <w:rPr>
          <w:rFonts w:ascii="Segoe UI" w:hAnsi="Segoe UI" w:cs="Segoe UI"/>
          <w:i/>
        </w:rPr>
        <w:t>Tyto</w:t>
      </w:r>
      <w:proofErr w:type="spellEnd"/>
      <w:r w:rsidRPr="001743D6">
        <w:rPr>
          <w:rFonts w:ascii="Segoe UI" w:hAnsi="Segoe UI" w:cs="Segoe UI"/>
          <w:i/>
        </w:rPr>
        <w:t xml:space="preserve"> </w:t>
      </w:r>
      <w:proofErr w:type="spellStart"/>
      <w:r w:rsidRPr="001743D6">
        <w:rPr>
          <w:rFonts w:ascii="Segoe UI" w:hAnsi="Segoe UI" w:cs="Segoe UI"/>
          <w:i/>
        </w:rPr>
        <w:t>tenebricosa</w:t>
      </w:r>
      <w:proofErr w:type="spellEnd"/>
      <w:r w:rsidRPr="001743D6">
        <w:rPr>
          <w:rFonts w:ascii="Segoe UI" w:hAnsi="Segoe UI" w:cs="Segoe UI"/>
          <w:i/>
        </w:rPr>
        <w:t xml:space="preserve"> </w:t>
      </w:r>
      <w:proofErr w:type="spellStart"/>
      <w:r w:rsidRPr="001743D6">
        <w:rPr>
          <w:rFonts w:ascii="Segoe UI" w:hAnsi="Segoe UI" w:cs="Segoe UI"/>
          <w:i/>
        </w:rPr>
        <w:t>tenebricosa</w:t>
      </w:r>
      <w:proofErr w:type="spellEnd"/>
      <w:r w:rsidRPr="001743D6">
        <w:rPr>
          <w:rFonts w:ascii="Segoe UI" w:hAnsi="Segoe UI" w:cs="Segoe UI"/>
        </w:rPr>
        <w:t xml:space="preserve">) and Tall </w:t>
      </w:r>
      <w:proofErr w:type="spellStart"/>
      <w:r w:rsidRPr="001743D6">
        <w:rPr>
          <w:rFonts w:ascii="Segoe UI" w:hAnsi="Segoe UI" w:cs="Segoe UI"/>
        </w:rPr>
        <w:t>Astelia</w:t>
      </w:r>
      <w:proofErr w:type="spellEnd"/>
      <w:r w:rsidRPr="001743D6">
        <w:rPr>
          <w:rFonts w:ascii="Segoe UI" w:hAnsi="Segoe UI" w:cs="Segoe UI"/>
        </w:rPr>
        <w:t xml:space="preserve"> (</w:t>
      </w:r>
      <w:proofErr w:type="spellStart"/>
      <w:r w:rsidRPr="001743D6">
        <w:rPr>
          <w:rFonts w:ascii="Segoe UI" w:hAnsi="Segoe UI" w:cs="Segoe UI"/>
          <w:i/>
        </w:rPr>
        <w:t>Astelia</w:t>
      </w:r>
      <w:proofErr w:type="spellEnd"/>
      <w:r w:rsidRPr="001743D6">
        <w:rPr>
          <w:rFonts w:ascii="Segoe UI" w:hAnsi="Segoe UI" w:cs="Segoe UI"/>
          <w:i/>
        </w:rPr>
        <w:t xml:space="preserve"> </w:t>
      </w:r>
      <w:proofErr w:type="spellStart"/>
      <w:r w:rsidRPr="001743D6">
        <w:rPr>
          <w:rFonts w:ascii="Segoe UI" w:hAnsi="Segoe UI" w:cs="Segoe UI"/>
          <w:i/>
        </w:rPr>
        <w:t>australiana</w:t>
      </w:r>
      <w:proofErr w:type="spellEnd"/>
      <w:r w:rsidRPr="001743D6">
        <w:rPr>
          <w:rFonts w:ascii="Segoe UI" w:hAnsi="Segoe UI" w:cs="Segoe UI"/>
        </w:rPr>
        <w:t>), including the VBA survey points used to generate the model, are shown below (</w:t>
      </w:r>
      <w:r w:rsidRPr="001743D6">
        <w:rPr>
          <w:rFonts w:ascii="Segoe UI" w:hAnsi="Segoe UI" w:cs="Segoe UI"/>
        </w:rPr>
        <w:fldChar w:fldCharType="begin"/>
      </w:r>
      <w:r w:rsidRPr="001743D6">
        <w:rPr>
          <w:rFonts w:ascii="Segoe UI" w:hAnsi="Segoe UI" w:cs="Segoe UI"/>
        </w:rPr>
        <w:instrText xml:space="preserve"> REF _Ref11748857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Figure </w:t>
      </w:r>
      <w:r w:rsidRPr="001743D6">
        <w:rPr>
          <w:rFonts w:ascii="Segoe UI" w:hAnsi="Segoe UI" w:cs="Segoe UI"/>
          <w:noProof/>
        </w:rPr>
        <w:t>10</w:t>
      </w:r>
      <w:r w:rsidRPr="001743D6">
        <w:rPr>
          <w:rFonts w:ascii="Segoe UI" w:hAnsi="Segoe UI" w:cs="Segoe UI"/>
        </w:rPr>
        <w:fldChar w:fldCharType="end"/>
      </w:r>
      <w:r w:rsidRPr="001743D6">
        <w:rPr>
          <w:rFonts w:ascii="Segoe UI" w:hAnsi="Segoe UI" w:cs="Segoe UI"/>
        </w:rPr>
        <w:t xml:space="preserve">). The models used to develop the maps in </w:t>
      </w:r>
      <w:r w:rsidRPr="001743D6">
        <w:rPr>
          <w:rFonts w:ascii="Segoe UI" w:hAnsi="Segoe UI" w:cs="Segoe UI"/>
        </w:rPr>
        <w:fldChar w:fldCharType="begin"/>
      </w:r>
      <w:r w:rsidRPr="001743D6">
        <w:rPr>
          <w:rFonts w:ascii="Segoe UI" w:hAnsi="Segoe UI" w:cs="Segoe UI"/>
        </w:rPr>
        <w:instrText xml:space="preserve"> REF _Ref11748857 \h  \* MERGEFORMAT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Figure 10</w:t>
      </w:r>
      <w:r w:rsidRPr="001743D6">
        <w:rPr>
          <w:rFonts w:ascii="Segoe UI" w:hAnsi="Segoe UI" w:cs="Segoe UI"/>
        </w:rPr>
        <w:fldChar w:fldCharType="end"/>
      </w:r>
      <w:r w:rsidRPr="001743D6">
        <w:rPr>
          <w:rFonts w:ascii="Segoe UI" w:hAnsi="Segoe UI" w:cs="Segoe UI"/>
        </w:rPr>
        <w:t xml:space="preserve"> to </w:t>
      </w:r>
      <w:r w:rsidRPr="001743D6">
        <w:rPr>
          <w:rFonts w:ascii="Segoe UI" w:hAnsi="Segoe UI" w:cs="Segoe UI"/>
        </w:rPr>
        <w:fldChar w:fldCharType="begin"/>
      </w:r>
      <w:r w:rsidRPr="001743D6">
        <w:rPr>
          <w:rFonts w:ascii="Segoe UI" w:hAnsi="Segoe UI" w:cs="Segoe UI"/>
        </w:rPr>
        <w:instrText xml:space="preserve"> REF _Ref11748859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Figure </w:t>
      </w:r>
      <w:r w:rsidRPr="001743D6">
        <w:rPr>
          <w:rFonts w:ascii="Segoe UI" w:hAnsi="Segoe UI" w:cs="Segoe UI"/>
          <w:noProof/>
        </w:rPr>
        <w:t>12</w:t>
      </w:r>
      <w:r w:rsidRPr="001743D6">
        <w:rPr>
          <w:rFonts w:ascii="Segoe UI" w:hAnsi="Segoe UI" w:cs="Segoe UI"/>
        </w:rPr>
        <w:fldChar w:fldCharType="end"/>
      </w:r>
      <w:r w:rsidRPr="001743D6">
        <w:rPr>
          <w:rFonts w:ascii="Segoe UI" w:hAnsi="Segoe UI" w:cs="Segoe UI"/>
        </w:rPr>
        <w:t xml:space="preserve"> have a colour gradient applied in the legend to represent the range of habitat values for each species from high (80 and above, represented as one colour) to low (30 and below, represented as one colour) to aid the reader in discerning areas of high and low habitat values.</w:t>
      </w:r>
    </w:p>
    <w:p w:rsidR="001743D6" w:rsidRPr="001743D6" w:rsidRDefault="001743D6" w:rsidP="001743D6">
      <w:pPr>
        <w:jc w:val="both"/>
        <w:rPr>
          <w:rFonts w:ascii="Segoe UI" w:hAnsi="Segoe UI" w:cs="Segoe UI"/>
        </w:rPr>
      </w:pPr>
      <w:r w:rsidRPr="001743D6">
        <w:rPr>
          <w:rFonts w:ascii="Segoe UI" w:hAnsi="Segoe UI" w:cs="Segoe UI"/>
        </w:rPr>
        <w:t xml:space="preserve">Habitat distribution models can also be used to inform conservation strategies and levels of protection by assessing the area of a species’ modelled suitable habitat that is within the CAR reserve system – an analysis of the HDMs for priority EPBC Act listed species is at Appendix </w:t>
      </w:r>
      <w:r w:rsidRPr="001743D6">
        <w:rPr>
          <w:rFonts w:ascii="Segoe UI" w:hAnsi="Segoe UI" w:cs="Segoe UI"/>
        </w:rPr>
        <w:fldChar w:fldCharType="begin"/>
      </w:r>
      <w:r w:rsidRPr="001743D6">
        <w:rPr>
          <w:rFonts w:ascii="Segoe UI" w:hAnsi="Segoe UI" w:cs="Segoe UI"/>
        </w:rPr>
        <w:instrText xml:space="preserve"> REF _Ref26445525 \r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4</w:t>
      </w:r>
      <w:r w:rsidRPr="001743D6">
        <w:rPr>
          <w:rFonts w:ascii="Segoe UI" w:hAnsi="Segoe UI" w:cs="Segoe UI"/>
        </w:rPr>
        <w:fldChar w:fldCharType="end"/>
      </w:r>
      <w:r w:rsidRPr="001743D6">
        <w:rPr>
          <w:rFonts w:ascii="Segoe UI" w:hAnsi="Segoe UI" w:cs="Segoe UI"/>
        </w:rPr>
        <w:t>.</w:t>
      </w:r>
    </w:p>
    <w:p w:rsidR="001743D6" w:rsidRPr="001743D6" w:rsidRDefault="001743D6" w:rsidP="001743D6">
      <w:pPr>
        <w:jc w:val="both"/>
        <w:rPr>
          <w:rFonts w:ascii="Segoe UI" w:hAnsi="Segoe UI" w:cs="Segoe UI"/>
        </w:rPr>
      </w:pPr>
      <w:r w:rsidRPr="001743D6">
        <w:rPr>
          <w:rFonts w:ascii="Segoe UI" w:hAnsi="Segoe UI" w:cs="Segoe UI"/>
        </w:rPr>
        <w:t xml:space="preserve">As part of the RFA modernisation program, HDMs for High-priority species are being updated with new field data and approaches to modelling. This process is described in the case study </w:t>
      </w:r>
      <w:r w:rsidRPr="001743D6">
        <w:rPr>
          <w:rFonts w:ascii="Segoe UI" w:hAnsi="Segoe UI" w:cs="Segoe UI"/>
        </w:rPr>
        <w:fldChar w:fldCharType="begin"/>
      </w:r>
      <w:r w:rsidRPr="001743D6">
        <w:rPr>
          <w:rFonts w:ascii="Segoe UI" w:hAnsi="Segoe UI" w:cs="Segoe UI"/>
        </w:rPr>
        <w:instrText xml:space="preserve"> REF _Ref19868883 \p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below</w:t>
      </w:r>
      <w:r w:rsidRPr="001743D6">
        <w:rPr>
          <w:rFonts w:ascii="Segoe UI" w:hAnsi="Segoe UI" w:cs="Segoe UI"/>
        </w:rPr>
        <w:fldChar w:fldCharType="end"/>
      </w:r>
      <w:r w:rsidRPr="001743D6">
        <w:rPr>
          <w:rFonts w:ascii="Segoe UI" w:hAnsi="Segoe UI" w:cs="Segoe UI"/>
        </w:rPr>
        <w:t xml:space="preserve"> on page </w:t>
      </w:r>
      <w:r w:rsidRPr="001743D6">
        <w:rPr>
          <w:rFonts w:ascii="Segoe UI" w:hAnsi="Segoe UI" w:cs="Segoe UI"/>
        </w:rPr>
        <w:fldChar w:fldCharType="begin"/>
      </w:r>
      <w:r w:rsidRPr="001743D6">
        <w:rPr>
          <w:rFonts w:ascii="Segoe UI" w:hAnsi="Segoe UI" w:cs="Segoe UI"/>
        </w:rPr>
        <w:instrText xml:space="preserve"> PAGEREF _Ref19868883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noProof/>
        </w:rPr>
        <w:t>102</w:t>
      </w:r>
      <w:r w:rsidRPr="001743D6">
        <w:rPr>
          <w:rFonts w:ascii="Segoe UI" w:hAnsi="Segoe UI" w:cs="Segoe UI"/>
        </w:rPr>
        <w:fldChar w:fldCharType="end"/>
      </w:r>
      <w:r w:rsidRPr="001743D6">
        <w:rPr>
          <w:rFonts w:ascii="Segoe UI" w:hAnsi="Segoe UI" w:cs="Segoe UI"/>
        </w:rPr>
        <w:t xml:space="preserve">. Currently published HDMs are publicly available on </w:t>
      </w:r>
      <w:proofErr w:type="spellStart"/>
      <w:r w:rsidRPr="001743D6">
        <w:rPr>
          <w:rFonts w:ascii="Segoe UI" w:hAnsi="Segoe UI" w:cs="Segoe UI"/>
        </w:rPr>
        <w:t>NatureKit</w:t>
      </w:r>
      <w:proofErr w:type="spellEnd"/>
      <w:r w:rsidRPr="001743D6">
        <w:rPr>
          <w:rFonts w:ascii="Segoe UI" w:hAnsi="Segoe UI" w:cs="Segoe UI"/>
        </w:rPr>
        <w:t>.</w:t>
      </w:r>
      <w:r w:rsidRPr="001743D6">
        <w:rPr>
          <w:rFonts w:ascii="Segoe UI" w:hAnsi="Segoe UI" w:cs="Segoe UI"/>
          <w:vertAlign w:val="superscript"/>
        </w:rPr>
        <w:footnoteReference w:id="8"/>
      </w:r>
      <w:r w:rsidRPr="001743D6">
        <w:rPr>
          <w:rFonts w:ascii="Segoe UI" w:hAnsi="Segoe UI" w:cs="Segoe UI"/>
        </w:rPr>
        <w:t xml:space="preserve"> </w:t>
      </w:r>
    </w:p>
    <w:p w:rsidR="001743D6" w:rsidRPr="001743D6" w:rsidRDefault="001743D6" w:rsidP="001743D6">
      <w:pPr>
        <w:rPr>
          <w:rFonts w:ascii="Segoe UI" w:hAnsi="Segoe UI" w:cs="Segoe UI"/>
        </w:rPr>
      </w:pPr>
      <w:r w:rsidRPr="001743D6">
        <w:rPr>
          <w:rFonts w:ascii="Segoe UI" w:hAnsi="Segoe UI" w:cs="Segoe UI"/>
        </w:rPr>
        <w:t xml:space="preserve"> </w:t>
      </w:r>
    </w:p>
    <w:p w:rsidR="001743D6" w:rsidRPr="001743D6" w:rsidRDefault="001743D6" w:rsidP="001743D6">
      <w:pPr>
        <w:rPr>
          <w:rFonts w:ascii="Segoe UI" w:hAnsi="Segoe UI" w:cs="Segoe UI"/>
        </w:rPr>
      </w:pPr>
      <w:r w:rsidRPr="001743D6">
        <w:rPr>
          <w:rFonts w:ascii="Segoe UI" w:hAnsi="Segoe UI" w:cs="Segoe UI"/>
          <w:noProof/>
        </w:rPr>
        <w:drawing>
          <wp:inline distT="0" distB="0" distL="0" distR="0" wp14:anchorId="06BD5817" wp14:editId="28E923C1">
            <wp:extent cx="5731510" cy="40417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5731510" cy="4041775"/>
                    </a:xfrm>
                    <a:prstGeom prst="rect">
                      <a:avLst/>
                    </a:prstGeom>
                  </pic:spPr>
                </pic:pic>
              </a:graphicData>
            </a:graphic>
          </wp:inline>
        </w:drawing>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45" w:name="_Ref11748857"/>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10</w:t>
      </w:r>
      <w:r w:rsidRPr="001743D6">
        <w:rPr>
          <w:rFonts w:ascii="Segoe UI Semibold" w:eastAsia="Times New Roman" w:hAnsi="Segoe UI Semibold" w:cs="Times New Roman"/>
          <w:noProof/>
          <w:color w:val="016295"/>
        </w:rPr>
        <w:fldChar w:fldCharType="end"/>
      </w:r>
      <w:bookmarkEnd w:id="45"/>
      <w:r w:rsidRPr="001743D6">
        <w:rPr>
          <w:rFonts w:ascii="Segoe UI Semibold" w:eastAsia="Times New Roman" w:hAnsi="Segoe UI Semibold" w:cs="Times New Roman"/>
          <w:color w:val="016295"/>
        </w:rPr>
        <w:t>: Habitat Distribution Model for the Greater Glider (</w:t>
      </w:r>
      <w:proofErr w:type="spellStart"/>
      <w:r w:rsidRPr="001743D6">
        <w:rPr>
          <w:rFonts w:ascii="Segoe UI Semibold" w:eastAsia="Times New Roman" w:hAnsi="Segoe UI Semibold" w:cs="Times New Roman"/>
          <w:i/>
          <w:color w:val="016295"/>
        </w:rPr>
        <w:t>Petauroides</w:t>
      </w:r>
      <w:proofErr w:type="spellEnd"/>
      <w:r w:rsidRPr="001743D6">
        <w:rPr>
          <w:rFonts w:ascii="Segoe UI Semibold" w:eastAsia="Times New Roman" w:hAnsi="Segoe UI Semibold" w:cs="Times New Roman"/>
          <w:i/>
          <w:color w:val="016295"/>
        </w:rPr>
        <w:t xml:space="preserve"> </w:t>
      </w:r>
      <w:proofErr w:type="spellStart"/>
      <w:r w:rsidRPr="001743D6">
        <w:rPr>
          <w:rFonts w:ascii="Segoe UI Semibold" w:eastAsia="Times New Roman" w:hAnsi="Segoe UI Semibold" w:cs="Times New Roman"/>
          <w:i/>
          <w:iCs/>
          <w:color w:val="016295"/>
        </w:rPr>
        <w:t>volans</w:t>
      </w:r>
      <w:proofErr w:type="spellEnd"/>
      <w:r w:rsidRPr="001743D6">
        <w:rPr>
          <w:rFonts w:ascii="Segoe UI Semibold" w:eastAsia="Times New Roman" w:hAnsi="Segoe UI Semibold" w:cs="Times New Roman"/>
          <w:color w:val="016295"/>
        </w:rPr>
        <w:t>)</w:t>
      </w:r>
    </w:p>
    <w:p w:rsidR="001743D6" w:rsidRPr="001743D6" w:rsidRDefault="001743D6" w:rsidP="001743D6">
      <w:pPr>
        <w:rPr>
          <w:rFonts w:ascii="Segoe UI" w:hAnsi="Segoe UI" w:cs="Segoe UI"/>
        </w:rPr>
      </w:pPr>
      <w:r w:rsidRPr="001743D6">
        <w:rPr>
          <w:rFonts w:ascii="Segoe UI" w:hAnsi="Segoe UI" w:cs="Segoe UI"/>
          <w:noProof/>
        </w:rPr>
        <w:drawing>
          <wp:inline distT="0" distB="0" distL="0" distR="0" wp14:anchorId="130D5BD6" wp14:editId="0288E77B">
            <wp:extent cx="5731510" cy="40430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val="0"/>
                        </a:ext>
                      </a:extLst>
                    </a:blip>
                    <a:stretch>
                      <a:fillRect/>
                    </a:stretch>
                  </pic:blipFill>
                  <pic:spPr>
                    <a:xfrm>
                      <a:off x="0" y="0"/>
                      <a:ext cx="5731510" cy="4043045"/>
                    </a:xfrm>
                    <a:prstGeom prst="rect">
                      <a:avLst/>
                    </a:prstGeom>
                  </pic:spPr>
                </pic:pic>
              </a:graphicData>
            </a:graphic>
          </wp:inline>
        </w:drawing>
      </w:r>
    </w:p>
    <w:p w:rsidR="001743D6" w:rsidRPr="001743D6" w:rsidRDefault="001743D6" w:rsidP="001743D6">
      <w:pPr>
        <w:spacing w:before="180" w:after="180" w:line="240" w:lineRule="exact"/>
        <w:rPr>
          <w:rFonts w:ascii="Segoe UI Semibold" w:eastAsia="Times New Roman" w:hAnsi="Segoe UI Semibold" w:cs="Times New Roman"/>
          <w:color w:val="016295"/>
        </w:rPr>
      </w:pPr>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11</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Habitat Distribution Model for the Sooty Owl (</w:t>
      </w:r>
      <w:proofErr w:type="spellStart"/>
      <w:r w:rsidRPr="001743D6">
        <w:rPr>
          <w:rFonts w:ascii="Segoe UI Semibold" w:eastAsia="Times New Roman" w:hAnsi="Segoe UI Semibold" w:cs="Times New Roman"/>
          <w:i/>
          <w:color w:val="016295"/>
        </w:rPr>
        <w:t>Tyto</w:t>
      </w:r>
      <w:proofErr w:type="spellEnd"/>
      <w:r w:rsidRPr="001743D6">
        <w:rPr>
          <w:rFonts w:ascii="Segoe UI Semibold" w:eastAsia="Times New Roman" w:hAnsi="Segoe UI Semibold" w:cs="Times New Roman"/>
          <w:i/>
          <w:color w:val="016295"/>
        </w:rPr>
        <w:t xml:space="preserve"> </w:t>
      </w:r>
      <w:proofErr w:type="spellStart"/>
      <w:r w:rsidRPr="001743D6">
        <w:rPr>
          <w:rFonts w:ascii="Segoe UI Semibold" w:eastAsia="Times New Roman" w:hAnsi="Segoe UI Semibold" w:cs="Times New Roman"/>
          <w:i/>
          <w:color w:val="016295"/>
        </w:rPr>
        <w:t>tenebricosa</w:t>
      </w:r>
      <w:proofErr w:type="spellEnd"/>
      <w:r w:rsidRPr="001743D6">
        <w:rPr>
          <w:rFonts w:ascii="Segoe UI Semibold" w:eastAsia="Times New Roman" w:hAnsi="Segoe UI Semibold" w:cs="Times New Roman"/>
          <w:i/>
          <w:color w:val="016295"/>
        </w:rPr>
        <w:t xml:space="preserve"> </w:t>
      </w:r>
      <w:proofErr w:type="spellStart"/>
      <w:r w:rsidRPr="001743D6">
        <w:rPr>
          <w:rFonts w:ascii="Segoe UI Semibold" w:eastAsia="Times New Roman" w:hAnsi="Segoe UI Semibold" w:cs="Times New Roman"/>
          <w:i/>
          <w:color w:val="016295"/>
        </w:rPr>
        <w:t>tenebricosa</w:t>
      </w:r>
      <w:proofErr w:type="spellEnd"/>
      <w:r w:rsidRPr="001743D6">
        <w:rPr>
          <w:rFonts w:ascii="Segoe UI Semibold" w:eastAsia="Times New Roman" w:hAnsi="Segoe UI Semibold" w:cs="Times New Roman"/>
          <w:color w:val="016295"/>
        </w:rPr>
        <w:t>)</w:t>
      </w:r>
    </w:p>
    <w:p w:rsidR="001743D6" w:rsidRPr="001743D6" w:rsidRDefault="001743D6" w:rsidP="001743D6">
      <w:pPr>
        <w:rPr>
          <w:rFonts w:ascii="Segoe UI" w:hAnsi="Segoe UI" w:cs="Segoe UI"/>
        </w:rPr>
      </w:pPr>
      <w:r w:rsidRPr="001743D6">
        <w:rPr>
          <w:rFonts w:ascii="Segoe UI" w:hAnsi="Segoe UI" w:cs="Segoe UI"/>
          <w:noProof/>
        </w:rPr>
        <w:drawing>
          <wp:inline distT="0" distB="0" distL="0" distR="0" wp14:anchorId="5924F8C7" wp14:editId="7A68D2BE">
            <wp:extent cx="5731510" cy="4067810"/>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val="0"/>
                        </a:ext>
                      </a:extLst>
                    </a:blip>
                    <a:stretch>
                      <a:fillRect/>
                    </a:stretch>
                  </pic:blipFill>
                  <pic:spPr>
                    <a:xfrm>
                      <a:off x="0" y="0"/>
                      <a:ext cx="5731510" cy="4067810"/>
                    </a:xfrm>
                    <a:prstGeom prst="rect">
                      <a:avLst/>
                    </a:prstGeom>
                  </pic:spPr>
                </pic:pic>
              </a:graphicData>
            </a:graphic>
          </wp:inline>
        </w:drawing>
      </w:r>
    </w:p>
    <w:p w:rsidR="001743D6" w:rsidRPr="001743D6" w:rsidRDefault="001743D6" w:rsidP="001743D6">
      <w:pPr>
        <w:spacing w:before="180" w:after="180" w:line="240" w:lineRule="exact"/>
        <w:rPr>
          <w:rFonts w:ascii="Segoe UI Semibold" w:eastAsia="Times New Roman" w:hAnsi="Segoe UI Semibold" w:cs="Times New Roman"/>
          <w:color w:val="016295"/>
        </w:rPr>
        <w:sectPr w:rsidR="001743D6" w:rsidRPr="001743D6">
          <w:headerReference w:type="default" r:id="rId26"/>
          <w:pgSz w:w="11906" w:h="16838"/>
          <w:pgMar w:top="1440" w:right="1440" w:bottom="1440" w:left="1440" w:header="708" w:footer="708" w:gutter="0"/>
          <w:cols w:space="708"/>
          <w:docGrid w:linePitch="360"/>
        </w:sectPr>
      </w:pPr>
      <w:bookmarkStart w:id="46" w:name="_Ref11748859"/>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12</w:t>
      </w:r>
      <w:r w:rsidRPr="001743D6">
        <w:rPr>
          <w:rFonts w:ascii="Segoe UI Semibold" w:eastAsia="Times New Roman" w:hAnsi="Segoe UI Semibold" w:cs="Times New Roman"/>
          <w:noProof/>
          <w:color w:val="016295"/>
        </w:rPr>
        <w:fldChar w:fldCharType="end"/>
      </w:r>
      <w:bookmarkEnd w:id="46"/>
      <w:r w:rsidRPr="001743D6">
        <w:rPr>
          <w:rFonts w:ascii="Segoe UI Semibold" w:eastAsia="Times New Roman" w:hAnsi="Segoe UI Semibold" w:cs="Times New Roman"/>
          <w:color w:val="016295"/>
        </w:rPr>
        <w:t xml:space="preserve">: Habitat Distribution Model for the Tall </w:t>
      </w:r>
      <w:proofErr w:type="spellStart"/>
      <w:r w:rsidRPr="001743D6">
        <w:rPr>
          <w:rFonts w:ascii="Segoe UI Semibold" w:eastAsia="Times New Roman" w:hAnsi="Segoe UI Semibold" w:cs="Times New Roman"/>
          <w:color w:val="016295"/>
        </w:rPr>
        <w:t>Astelia</w:t>
      </w:r>
      <w:proofErr w:type="spellEnd"/>
      <w:r w:rsidRPr="001743D6">
        <w:rPr>
          <w:rFonts w:ascii="Segoe UI Semibold" w:eastAsia="Times New Roman" w:hAnsi="Segoe UI Semibold" w:cs="Times New Roman"/>
          <w:color w:val="016295"/>
        </w:rPr>
        <w:t xml:space="preserve"> (</w:t>
      </w:r>
      <w:proofErr w:type="spellStart"/>
      <w:r w:rsidRPr="001743D6">
        <w:rPr>
          <w:rFonts w:ascii="Segoe UI Semibold" w:eastAsia="Times New Roman" w:hAnsi="Segoe UI Semibold" w:cs="Times New Roman"/>
          <w:i/>
          <w:color w:val="016295"/>
        </w:rPr>
        <w:t>Astelia</w:t>
      </w:r>
      <w:proofErr w:type="spellEnd"/>
      <w:r w:rsidRPr="001743D6">
        <w:rPr>
          <w:rFonts w:ascii="Segoe UI Semibold" w:eastAsia="Times New Roman" w:hAnsi="Segoe UI Semibold" w:cs="Times New Roman"/>
          <w:i/>
          <w:color w:val="016295"/>
        </w:rPr>
        <w:t xml:space="preserve"> </w:t>
      </w:r>
      <w:proofErr w:type="spellStart"/>
      <w:r w:rsidRPr="001743D6">
        <w:rPr>
          <w:rFonts w:ascii="Segoe UI Semibold" w:eastAsia="Times New Roman" w:hAnsi="Segoe UI Semibold" w:cs="Times New Roman"/>
          <w:i/>
          <w:color w:val="016295"/>
        </w:rPr>
        <w:t>australiana</w:t>
      </w:r>
      <w:proofErr w:type="spellEnd"/>
      <w:r w:rsidRPr="001743D6">
        <w:rPr>
          <w:rFonts w:ascii="Segoe UI Semibold" w:eastAsia="Times New Roman" w:hAnsi="Segoe UI Semibold" w:cs="Times New Roman"/>
          <w:color w:val="016295"/>
        </w:rPr>
        <w:t xml:space="preserve">) </w:t>
      </w:r>
      <w:bookmarkStart w:id="47" w:name="_Ref520279027"/>
    </w:p>
    <w:p w:rsidR="001743D6" w:rsidRPr="001743D6" w:rsidRDefault="001743D6" w:rsidP="001743D6">
      <w:pPr>
        <w:keepNext/>
        <w:spacing w:before="120" w:after="120" w:line="240" w:lineRule="auto"/>
        <w:jc w:val="both"/>
        <w:outlineLvl w:val="3"/>
        <w:rPr>
          <w:rFonts w:ascii="Segoe UI" w:hAnsi="Segoe UI" w:cs="Segoe UI"/>
          <w:i/>
          <w:sz w:val="24"/>
          <w:szCs w:val="24"/>
        </w:rPr>
      </w:pPr>
      <w:bookmarkStart w:id="48" w:name="_Ref25765889"/>
      <w:proofErr w:type="spellStart"/>
      <w:r w:rsidRPr="001743D6">
        <w:rPr>
          <w:rFonts w:ascii="Segoe UI" w:hAnsi="Segoe UI" w:cs="Segoe UI"/>
          <w:i/>
          <w:sz w:val="24"/>
          <w:szCs w:val="24"/>
        </w:rPr>
        <w:t>NaturePrint</w:t>
      </w:r>
      <w:proofErr w:type="spellEnd"/>
      <w:r w:rsidRPr="001743D6">
        <w:rPr>
          <w:rFonts w:ascii="Segoe UI" w:hAnsi="Segoe UI" w:cs="Segoe UI"/>
          <w:i/>
          <w:sz w:val="24"/>
          <w:szCs w:val="24"/>
        </w:rPr>
        <w:t xml:space="preserve"> and Strategic Management Prospects</w:t>
      </w:r>
      <w:bookmarkEnd w:id="48"/>
      <w:r w:rsidRPr="001743D6">
        <w:rPr>
          <w:rFonts w:ascii="Segoe UI" w:hAnsi="Segoe UI" w:cs="Segoe UI"/>
          <w:i/>
          <w:sz w:val="24"/>
          <w:szCs w:val="24"/>
        </w:rPr>
        <w:t xml:space="preserve"> </w:t>
      </w:r>
    </w:p>
    <w:p w:rsidR="001743D6" w:rsidRPr="001743D6" w:rsidRDefault="001743D6" w:rsidP="001743D6">
      <w:pPr>
        <w:jc w:val="both"/>
        <w:rPr>
          <w:rFonts w:ascii="Segoe UI" w:hAnsi="Segoe UI" w:cs="Segoe UI"/>
        </w:rPr>
      </w:pPr>
      <w:r w:rsidRPr="001743D6">
        <w:rPr>
          <w:rFonts w:ascii="Segoe UI" w:hAnsi="Segoe UI" w:cs="Segoe UI"/>
        </w:rPr>
        <w:t xml:space="preserve">Evidence-based decision-making is critical to improving outcomes for biodiversity. Strategic Management Prospects (SMP) is a decision-support tool that helps biodiversity managers identify and prioritise management options in a transparent, objective and repeatable way. SMP uses a new spatially explicit, landscape-scale approach to identify the most effective and efficient management actions to benefit biodiversity across Victoria (DELWP 2019a). </w:t>
      </w:r>
    </w:p>
    <w:p w:rsidR="001743D6" w:rsidRPr="001743D6" w:rsidRDefault="001743D6" w:rsidP="001743D6">
      <w:pPr>
        <w:jc w:val="both"/>
        <w:rPr>
          <w:rFonts w:ascii="Segoe UI" w:hAnsi="Segoe UI" w:cs="Segoe UI"/>
        </w:rPr>
      </w:pPr>
      <w:r w:rsidRPr="001743D6">
        <w:rPr>
          <w:rFonts w:ascii="Segoe UI" w:hAnsi="Segoe UI" w:cs="Segoe UI"/>
        </w:rPr>
        <w:t xml:space="preserve">The aim of </w:t>
      </w:r>
      <w:r w:rsidRPr="001743D6">
        <w:rPr>
          <w:rFonts w:ascii="Segoe UI" w:hAnsi="Segoe UI" w:cs="Segoe UI"/>
          <w:i/>
        </w:rPr>
        <w:t>Biodiversity 2037</w:t>
      </w:r>
      <w:r w:rsidRPr="001743D6">
        <w:rPr>
          <w:rFonts w:ascii="Segoe UI" w:hAnsi="Segoe UI" w:cs="Segoe UI"/>
        </w:rPr>
        <w:t xml:space="preserve"> is to ‘see an overall improvement, where the majority of habitats and threatened species will be improved, and habitat gains will outweigh losses’ (DELWP 2017c, p. 14).</w:t>
      </w:r>
    </w:p>
    <w:p w:rsidR="001743D6" w:rsidRPr="001743D6" w:rsidRDefault="001743D6" w:rsidP="001743D6">
      <w:pPr>
        <w:jc w:val="both"/>
        <w:rPr>
          <w:rFonts w:ascii="Segoe UI" w:hAnsi="Segoe UI" w:cs="Segoe UI"/>
        </w:rPr>
      </w:pPr>
      <w:r w:rsidRPr="001743D6">
        <w:rPr>
          <w:rFonts w:ascii="Segoe UI" w:hAnsi="Segoe UI" w:cs="Segoe UI"/>
        </w:rPr>
        <w:t xml:space="preserve">To have the best chance to achieve the greatest outcomes for biodiversity in Victoria we need to compare information about thousands of biodiversity values. There are a range of best-practice methods now available for use. </w:t>
      </w:r>
    </w:p>
    <w:p w:rsidR="001743D6" w:rsidRPr="001743D6" w:rsidRDefault="001743D6" w:rsidP="001743D6">
      <w:pPr>
        <w:jc w:val="both"/>
        <w:rPr>
          <w:rFonts w:ascii="Segoe UI" w:hAnsi="Segoe UI" w:cs="Segoe UI"/>
        </w:rPr>
      </w:pPr>
      <w:r w:rsidRPr="001743D6">
        <w:rPr>
          <w:rFonts w:ascii="Segoe UI" w:hAnsi="Segoe UI" w:cs="Segoe UI"/>
        </w:rPr>
        <w:t>SMP integrates and simultaneously compares information on biodiversity values, threats, effectiveness of management actions and indicative costs of management actions for biodiversity across Victoria (</w:t>
      </w:r>
      <w:r w:rsidRPr="001743D6">
        <w:rPr>
          <w:rFonts w:ascii="Segoe UI" w:hAnsi="Segoe UI" w:cs="Segoe UI"/>
        </w:rPr>
        <w:fldChar w:fldCharType="begin"/>
      </w:r>
      <w:r w:rsidRPr="001743D6">
        <w:rPr>
          <w:rFonts w:ascii="Segoe UI" w:hAnsi="Segoe UI" w:cs="Segoe UI"/>
        </w:rPr>
        <w:instrText xml:space="preserve"> REF _Ref13494618 \h  \* MERGEFORMAT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Table 32</w:t>
      </w:r>
      <w:r w:rsidRPr="001743D6">
        <w:rPr>
          <w:rFonts w:ascii="Segoe UI" w:hAnsi="Segoe UI" w:cs="Segoe UI"/>
        </w:rPr>
        <w:fldChar w:fldCharType="end"/>
      </w:r>
      <w:r w:rsidRPr="001743D6">
        <w:rPr>
          <w:rFonts w:ascii="Segoe UI" w:hAnsi="Segoe UI" w:cs="Segoe UI"/>
        </w:rPr>
        <w:t xml:space="preserve">). Example output is at </w:t>
      </w:r>
      <w:r w:rsidRPr="001743D6">
        <w:rPr>
          <w:rFonts w:ascii="Segoe UI" w:hAnsi="Segoe UI" w:cs="Segoe UI"/>
        </w:rPr>
        <w:fldChar w:fldCharType="begin"/>
      </w:r>
      <w:r w:rsidRPr="001743D6">
        <w:rPr>
          <w:rFonts w:ascii="Segoe UI" w:hAnsi="Segoe UI" w:cs="Segoe UI"/>
        </w:rPr>
        <w:instrText xml:space="preserve"> REF _Ref11752818 \h  \* MERGEFORMAT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Figure 13</w:t>
      </w:r>
      <w:r w:rsidRPr="001743D6">
        <w:rPr>
          <w:rFonts w:ascii="Segoe UI" w:hAnsi="Segoe UI" w:cs="Segoe UI"/>
        </w:rPr>
        <w:fldChar w:fldCharType="end"/>
      </w:r>
      <w:r w:rsidRPr="001743D6">
        <w:rPr>
          <w:rFonts w:ascii="Segoe UI" w:hAnsi="Segoe UI" w:cs="Segoe UI"/>
        </w:rPr>
        <w:t xml:space="preserve">. </w:t>
      </w:r>
    </w:p>
    <w:p w:rsidR="001743D6" w:rsidRPr="001743D6" w:rsidRDefault="001743D6" w:rsidP="001743D6">
      <w:pPr>
        <w:jc w:val="both"/>
        <w:rPr>
          <w:rFonts w:ascii="Segoe UI" w:hAnsi="Segoe UI" w:cs="Segoe UI"/>
        </w:rPr>
      </w:pPr>
      <w:r w:rsidRPr="001743D6">
        <w:rPr>
          <w:rFonts w:ascii="Segoe UI" w:hAnsi="Segoe UI" w:cs="Segoe UI"/>
        </w:rPr>
        <w:t xml:space="preserve">Habitat distribution models for over 4,000 species are used in the first version of SMP analysis. HDMs have been created for most of Victoria’s vertebrate fauna, threatened vascular flora and some rare or threatened invertebrates. The majority of terrestrial forest-dwelling species are considered in SMP. SMP can be used to make management decisions about forest-dependent species, assess risks to species and implement conservation strategies. </w:t>
      </w:r>
    </w:p>
    <w:p w:rsidR="001743D6" w:rsidRPr="001743D6" w:rsidRDefault="001743D6" w:rsidP="001743D6">
      <w:pPr>
        <w:jc w:val="both"/>
        <w:rPr>
          <w:rFonts w:ascii="Segoe UI" w:hAnsi="Segoe UI" w:cs="Segoe UI"/>
        </w:rPr>
      </w:pPr>
      <w:r w:rsidRPr="001743D6">
        <w:rPr>
          <w:rFonts w:ascii="Segoe UI" w:hAnsi="Segoe UI" w:cs="Segoe UI"/>
        </w:rPr>
        <w:t>When undertaking management actions, it is important to know how those actions benefit different plants and animals in different places. Information on where actions have the greatest benefit, or the greatest prospects for change for particular species, is essential to guide investment or management planning.</w:t>
      </w:r>
    </w:p>
    <w:p w:rsidR="001743D6" w:rsidRPr="001743D6" w:rsidRDefault="001743D6" w:rsidP="001743D6">
      <w:pPr>
        <w:jc w:val="both"/>
        <w:rPr>
          <w:rFonts w:ascii="Segoe UI" w:hAnsi="Segoe UI" w:cs="Segoe UI"/>
        </w:rPr>
      </w:pPr>
      <w:r w:rsidRPr="001743D6">
        <w:rPr>
          <w:rFonts w:ascii="Segoe UI" w:hAnsi="Segoe UI" w:cs="Segoe UI"/>
        </w:rPr>
        <w:t xml:space="preserve">Benefits can vary in spatial magnitude and temporal scale. Some actions (e.g. caging orchids to protect from herbivores) are only appropriate in unique situations, while other actions (e.g. fox baiting) can provide benefits for a number of species in many places. A common measure of benefit is required to enable comparisons across a wide range of species, threats and actions (DELWP 2017b). </w:t>
      </w:r>
    </w:p>
    <w:p w:rsidR="001743D6" w:rsidRPr="001743D6" w:rsidRDefault="001743D6" w:rsidP="001743D6">
      <w:pPr>
        <w:jc w:val="both"/>
        <w:rPr>
          <w:rFonts w:ascii="Segoe UI" w:hAnsi="Segoe UI" w:cs="Segoe UI"/>
        </w:rPr>
      </w:pPr>
      <w:r w:rsidRPr="001743D6">
        <w:rPr>
          <w:rFonts w:ascii="Segoe UI" w:hAnsi="Segoe UI" w:cs="Segoe UI"/>
          <w:i/>
        </w:rPr>
        <w:t>Biodiversity 2037</w:t>
      </w:r>
      <w:r w:rsidRPr="001743D6">
        <w:rPr>
          <w:rFonts w:ascii="Segoe UI" w:hAnsi="Segoe UI" w:cs="Segoe UI"/>
        </w:rPr>
        <w:t xml:space="preserve"> identifies a new measure – Change in Suitable Habitat – that will standardise the measurement of benefit and be used to assess overall progress towards the plan’s targets.</w:t>
      </w:r>
    </w:p>
    <w:p w:rsidR="001743D6" w:rsidRPr="001743D6" w:rsidRDefault="001743D6" w:rsidP="001743D6">
      <w:pPr>
        <w:jc w:val="both"/>
        <w:rPr>
          <w:rFonts w:ascii="Segoe UI" w:hAnsi="Segoe UI" w:cs="Segoe UI"/>
        </w:rPr>
      </w:pPr>
      <w:r w:rsidRPr="001743D6">
        <w:rPr>
          <w:rFonts w:ascii="Segoe UI" w:hAnsi="Segoe UI" w:cs="Segoe UI"/>
        </w:rPr>
        <w:t>In 2018, SMP was used to guide decision-making and investment for 85 new projects for on-ground biodiversity action worth $33.67 million through Biodiversity Response Planning. Funded projects will be delivered over three years, commencing in 2018–19 through to 2020-2021.</w:t>
      </w:r>
      <w:r w:rsidRPr="001743D6">
        <w:rPr>
          <w:rFonts w:ascii="Segoe UI" w:hAnsi="Segoe UI" w:cs="Segoe UI"/>
          <w:vertAlign w:val="superscript"/>
        </w:rPr>
        <w:footnoteReference w:id="9"/>
      </w:r>
      <w:r w:rsidRPr="001743D6">
        <w:rPr>
          <w:rFonts w:ascii="Segoe UI" w:hAnsi="Segoe UI" w:cs="Segoe UI"/>
        </w:rPr>
        <w:t xml:space="preserve"> </w:t>
      </w:r>
      <w:bookmarkStart w:id="49" w:name="_Ref11421104"/>
    </w:p>
    <w:p w:rsidR="001743D6" w:rsidRPr="001743D6" w:rsidRDefault="001743D6" w:rsidP="001743D6">
      <w:pPr>
        <w:jc w:val="both"/>
        <w:rPr>
          <w:rFonts w:ascii="Segoe UI" w:hAnsi="Segoe UI" w:cs="Segoe UI"/>
        </w:rPr>
      </w:pP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50" w:name="_Ref13494618"/>
      <w:bookmarkStart w:id="51" w:name="_Toc25660815"/>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32</w:t>
      </w:r>
      <w:r w:rsidRPr="001743D6">
        <w:rPr>
          <w:rFonts w:ascii="Segoe UI Semibold" w:eastAsia="Times New Roman" w:hAnsi="Segoe UI Semibold" w:cs="Times New Roman"/>
          <w:noProof/>
          <w:color w:val="016295"/>
        </w:rPr>
        <w:fldChar w:fldCharType="end"/>
      </w:r>
      <w:bookmarkEnd w:id="49"/>
      <w:bookmarkEnd w:id="50"/>
      <w:r w:rsidRPr="001743D6">
        <w:rPr>
          <w:rFonts w:ascii="Segoe UI Semibold" w:eastAsia="Times New Roman" w:hAnsi="Segoe UI Semibold" w:cs="Times New Roman"/>
          <w:color w:val="016295"/>
        </w:rPr>
        <w:t>: Strategic Management Prospects inputs</w:t>
      </w:r>
      <w:bookmarkEnd w:id="51"/>
      <w:r w:rsidRPr="001743D6">
        <w:rPr>
          <w:rFonts w:ascii="Segoe UI Semibold" w:eastAsia="Times New Roman" w:hAnsi="Segoe UI Semibold" w:cs="Times New Roman"/>
          <w:color w:val="016295"/>
        </w:rPr>
        <w:t xml:space="preserve"> (DELWP 2017b) </w:t>
      </w:r>
    </w:p>
    <w:tbl>
      <w:tblPr>
        <w:tblStyle w:val="xTable2"/>
        <w:tblW w:w="9127" w:type="dxa"/>
        <w:tblLayout w:type="fixed"/>
        <w:tblLook w:val="04A0" w:firstRow="1" w:lastRow="0" w:firstColumn="1" w:lastColumn="0" w:noHBand="0" w:noVBand="1"/>
      </w:tblPr>
      <w:tblGrid>
        <w:gridCol w:w="2551"/>
        <w:gridCol w:w="6576"/>
      </w:tblGrid>
      <w:tr w:rsidR="001743D6" w:rsidRPr="001743D6" w:rsidTr="00D06F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1" w:type="dxa"/>
          </w:tcPr>
          <w:p w:rsidR="001743D6" w:rsidRPr="001743D6" w:rsidRDefault="001743D6" w:rsidP="001743D6">
            <w:pPr>
              <w:rPr>
                <w:rFonts w:ascii="Segoe UI" w:hAnsi="Segoe UI" w:cs="Segoe UI"/>
              </w:rPr>
            </w:pPr>
            <w:r w:rsidRPr="001743D6">
              <w:rPr>
                <w:rFonts w:ascii="Segoe UI" w:hAnsi="Segoe UI" w:cs="Segoe UI"/>
              </w:rPr>
              <w:t>Inputs to SMP</w:t>
            </w:r>
          </w:p>
        </w:tc>
        <w:tc>
          <w:tcPr>
            <w:tcW w:w="6576" w:type="dxa"/>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Relationships modelled</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1743D6" w:rsidRPr="001743D6" w:rsidRDefault="001743D6" w:rsidP="001743D6">
            <w:pPr>
              <w:rPr>
                <w:rFonts w:ascii="Segoe UI" w:hAnsi="Segoe UI" w:cs="Segoe UI"/>
              </w:rPr>
            </w:pPr>
            <w:r w:rsidRPr="001743D6">
              <w:rPr>
                <w:rFonts w:ascii="Segoe UI" w:hAnsi="Segoe UI" w:cs="Segoe UI"/>
              </w:rPr>
              <w:t>Habitat distribution models</w:t>
            </w:r>
          </w:p>
        </w:tc>
        <w:tc>
          <w:tcPr>
            <w:tcW w:w="6576" w:type="dxa"/>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743D6">
              <w:rPr>
                <w:rFonts w:ascii="Segoe UI" w:hAnsi="Segoe UI" w:cs="Segoe UI"/>
              </w:rPr>
              <w:t>Known observations of species and characteristics of the environment (e.g. terrain, climate).</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1743D6" w:rsidRPr="001743D6" w:rsidRDefault="001743D6" w:rsidP="001743D6">
            <w:pPr>
              <w:rPr>
                <w:rFonts w:ascii="Segoe UI" w:hAnsi="Segoe UI" w:cs="Segoe UI"/>
              </w:rPr>
            </w:pPr>
            <w:r w:rsidRPr="001743D6">
              <w:rPr>
                <w:rFonts w:ascii="Segoe UI" w:hAnsi="Segoe UI" w:cs="Segoe UI"/>
              </w:rPr>
              <w:t>Threat models</w:t>
            </w:r>
          </w:p>
        </w:tc>
        <w:tc>
          <w:tcPr>
            <w:tcW w:w="6576" w:type="dxa"/>
          </w:tcPr>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743D6">
              <w:rPr>
                <w:rFonts w:ascii="Segoe UI" w:hAnsi="Segoe UI" w:cs="Segoe UI"/>
              </w:rPr>
              <w:t>Known occurrences of threats (e.g. deer or rabbits) and characteristics of the environment (e.g. terrain, climate).</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1743D6" w:rsidRPr="001743D6" w:rsidRDefault="001743D6" w:rsidP="001743D6">
            <w:pPr>
              <w:rPr>
                <w:rFonts w:ascii="Segoe UI" w:hAnsi="Segoe UI" w:cs="Segoe UI"/>
              </w:rPr>
            </w:pPr>
            <w:r w:rsidRPr="001743D6">
              <w:rPr>
                <w:rFonts w:ascii="Segoe UI" w:hAnsi="Segoe UI" w:cs="Segoe UI"/>
              </w:rPr>
              <w:t>Benefit of action models</w:t>
            </w:r>
          </w:p>
        </w:tc>
        <w:tc>
          <w:tcPr>
            <w:tcW w:w="6576" w:type="dxa"/>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743D6">
              <w:rPr>
                <w:rFonts w:ascii="Segoe UI" w:hAnsi="Segoe UI" w:cs="Segoe UI"/>
              </w:rPr>
              <w:t>Expert opinion of site-specific and situation-specific settings assessed by multiple experts with a standardised method called expert elicitation. These opinions were extrapolated from sites to landscape.</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1743D6" w:rsidRPr="001743D6" w:rsidRDefault="001743D6" w:rsidP="001743D6">
            <w:pPr>
              <w:rPr>
                <w:rFonts w:ascii="Segoe UI" w:hAnsi="Segoe UI" w:cs="Segoe UI"/>
              </w:rPr>
            </w:pPr>
            <w:r w:rsidRPr="001743D6">
              <w:rPr>
                <w:rFonts w:ascii="Segoe UI" w:hAnsi="Segoe UI" w:cs="Segoe UI"/>
              </w:rPr>
              <w:t>Costs of actions</w:t>
            </w:r>
          </w:p>
        </w:tc>
        <w:tc>
          <w:tcPr>
            <w:tcW w:w="6576" w:type="dxa"/>
          </w:tcPr>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743D6">
              <w:rPr>
                <w:rFonts w:ascii="Segoe UI" w:hAnsi="Segoe UI" w:cs="Segoe UI"/>
              </w:rPr>
              <w:t>Costs of on-ground operations calculated as dollars per hectare, informed by considering temporal (time-related), spatial (place-related), and cost components (site costs, opportunity costs to private landholders, transaction costs and travel costs).</w:t>
            </w:r>
          </w:p>
        </w:tc>
      </w:tr>
    </w:tbl>
    <w:p w:rsidR="001743D6" w:rsidRPr="001743D6" w:rsidRDefault="001743D6" w:rsidP="001743D6">
      <w:pPr>
        <w:rPr>
          <w:rFonts w:ascii="Segoe UI" w:hAnsi="Segoe UI" w:cs="Segoe UI"/>
        </w:rPr>
      </w:pPr>
    </w:p>
    <w:p w:rsidR="001743D6" w:rsidRPr="001743D6" w:rsidRDefault="001743D6" w:rsidP="001743D6">
      <w:pPr>
        <w:keepNext/>
        <w:rPr>
          <w:rFonts w:ascii="Segoe UI" w:hAnsi="Segoe UI" w:cs="Segoe UI"/>
        </w:rPr>
      </w:pPr>
      <w:r w:rsidRPr="001743D6">
        <w:rPr>
          <w:rFonts w:ascii="Segoe UI" w:hAnsi="Segoe UI" w:cs="Segoe UI"/>
          <w:noProof/>
          <w:lang w:eastAsia="en-AU"/>
        </w:rPr>
        <w:drawing>
          <wp:inline distT="0" distB="0" distL="0" distR="0" wp14:anchorId="2269BBCF" wp14:editId="4D56C68C">
            <wp:extent cx="5522614" cy="3980799"/>
            <wp:effectExtent l="0" t="0" r="1905" b="1270"/>
            <wp:docPr id="6" name="Picture 6" descr="This map shows the modelled best management regime as output from Strategic Management Prospects. The best management regime in a location is depicted by a particular colour and is the modelled management regime that will have the greatest benefit to overall biodiversity in that location, taking into account the cost of that regime. This map is intended to be considered in conjunction with the &quot;Modelled relative spatial priority areas for action across Victoria&quot; map." title="Modelled best management regime for conserving biodiversity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val="0"/>
                        </a:ext>
                      </a:extLst>
                    </a:blip>
                    <a:stretch>
                      <a:fillRect/>
                    </a:stretch>
                  </pic:blipFill>
                  <pic:spPr>
                    <a:xfrm>
                      <a:off x="0" y="0"/>
                      <a:ext cx="5559785" cy="4007592"/>
                    </a:xfrm>
                    <a:prstGeom prst="rect">
                      <a:avLst/>
                    </a:prstGeom>
                  </pic:spPr>
                </pic:pic>
              </a:graphicData>
            </a:graphic>
          </wp:inline>
        </w:drawing>
      </w:r>
    </w:p>
    <w:p w:rsidR="001743D6" w:rsidRPr="001743D6" w:rsidRDefault="001743D6" w:rsidP="001743D6">
      <w:pPr>
        <w:spacing w:after="200" w:line="240" w:lineRule="auto"/>
        <w:rPr>
          <w:rFonts w:ascii="Segoe UI Semibold" w:eastAsia="Times New Roman" w:hAnsi="Segoe UI Semibold" w:cs="Times New Roman"/>
          <w:color w:val="016295"/>
        </w:rPr>
      </w:pPr>
      <w:bookmarkStart w:id="52" w:name="_Ref11752818"/>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13</w:t>
      </w:r>
      <w:r w:rsidRPr="001743D6">
        <w:rPr>
          <w:rFonts w:ascii="Segoe UI Semibold" w:eastAsia="Times New Roman" w:hAnsi="Segoe UI Semibold" w:cs="Times New Roman"/>
          <w:noProof/>
          <w:color w:val="016295"/>
        </w:rPr>
        <w:fldChar w:fldCharType="end"/>
      </w:r>
      <w:bookmarkEnd w:id="52"/>
      <w:r w:rsidRPr="001743D6">
        <w:rPr>
          <w:rFonts w:ascii="Segoe UI Semibold" w:eastAsia="Times New Roman" w:hAnsi="Segoe UI Semibold" w:cs="Times New Roman"/>
          <w:color w:val="016295"/>
        </w:rPr>
        <w:t>: Strategic Management Prospects cost-effective actions (modelled output)</w:t>
      </w:r>
    </w:p>
    <w:p w:rsidR="001743D6" w:rsidRPr="001743D6" w:rsidRDefault="001743D6" w:rsidP="001743D6">
      <w:pPr>
        <w:rPr>
          <w:rFonts w:ascii="Segoe UI Semibold" w:eastAsia="Times New Roman" w:hAnsi="Segoe UI Semibold" w:cs="Times New Roman"/>
          <w:color w:val="016295"/>
        </w:rPr>
      </w:pPr>
      <w:r w:rsidRPr="001743D6">
        <w:rPr>
          <w:rFonts w:ascii="Segoe UI" w:hAnsi="Segoe UI" w:cs="Segoe UI"/>
        </w:rPr>
        <w:br w:type="page"/>
      </w:r>
    </w:p>
    <w:p w:rsidR="001743D6" w:rsidRPr="001743D6" w:rsidRDefault="001743D6" w:rsidP="001743D6">
      <w:pPr>
        <w:keepNext/>
        <w:spacing w:before="240" w:after="240" w:line="240" w:lineRule="auto"/>
        <w:outlineLvl w:val="2"/>
        <w:rPr>
          <w:rFonts w:ascii="Segoe UI" w:hAnsi="Segoe UI" w:cs="Segoe UI"/>
          <w:b/>
          <w:color w:val="000000"/>
          <w:sz w:val="24"/>
          <w:szCs w:val="24"/>
        </w:rPr>
      </w:pPr>
      <w:bookmarkStart w:id="53" w:name="_Toc11768312"/>
      <w:bookmarkStart w:id="54" w:name="_Toc30491994"/>
      <w:bookmarkStart w:id="55" w:name="_Toc33002091"/>
      <w:bookmarkStart w:id="56" w:name="_Hlk27640317"/>
      <w:bookmarkEnd w:id="47"/>
      <w:r w:rsidRPr="001743D6">
        <w:rPr>
          <w:rFonts w:ascii="Segoe UI" w:hAnsi="Segoe UI" w:cs="Segoe UI"/>
          <w:b/>
          <w:color w:val="000000"/>
          <w:sz w:val="24"/>
          <w:szCs w:val="24"/>
        </w:rPr>
        <w:t>Indicator 1.2c: Representative species from a range of habitats monitored at scales relevant to regional forest management</w:t>
      </w:r>
      <w:bookmarkEnd w:id="53"/>
      <w:bookmarkEnd w:id="54"/>
      <w:bookmarkEnd w:id="55"/>
    </w:p>
    <w:bookmarkEnd w:id="56"/>
    <w:p w:rsidR="001743D6" w:rsidRPr="001743D6" w:rsidRDefault="001743D6" w:rsidP="001743D6">
      <w:pPr>
        <w:jc w:val="both"/>
        <w:rPr>
          <w:rFonts w:ascii="Segoe UI" w:hAnsi="Segoe UI" w:cs="Segoe UI"/>
        </w:rPr>
      </w:pPr>
      <w:r w:rsidRPr="001743D6">
        <w:rPr>
          <w:rFonts w:ascii="Segoe UI" w:hAnsi="Segoe UI" w:cs="Segoe UI"/>
        </w:rPr>
        <w:t xml:space="preserve">As outlined above, the VBA is a repository for information on flora and fauna sightings across Victoria. The VBA database includes observations from dedicated monitoring programs implemented by government and non-government entities, as well as sightings from ‘citizen scientists’ (non-professionals who volunteer time and effort for scientific research). The VBA database helps managers understand where wildlife is now, and importantly, where it is not – in the form of absence data. It is a key tool for the government’s processes and programs that manage native species. Specifically, it is used in conservation status assessments, and for the development of HDMs that inform strategic decision-making processes, including Native Vegetation Removal Regulations (Commissioner for Environmental Sustainability Victoria 2019, p. 75). </w:t>
      </w:r>
    </w:p>
    <w:p w:rsidR="001743D6" w:rsidRPr="001743D6" w:rsidRDefault="001743D6" w:rsidP="001743D6">
      <w:pPr>
        <w:keepNext/>
        <w:rPr>
          <w:rFonts w:ascii="Segoe UI" w:hAnsi="Segoe UI" w:cs="Segoe UI"/>
        </w:rPr>
      </w:pPr>
      <w:r w:rsidRPr="001743D6">
        <w:rPr>
          <w:rFonts w:ascii="Segoe UI" w:hAnsi="Segoe UI" w:cs="Segoe UI"/>
          <w:noProof/>
          <w:lang w:eastAsia="en-AU"/>
        </w:rPr>
        <w:drawing>
          <wp:inline distT="0" distB="0" distL="0" distR="0" wp14:anchorId="150BB43D" wp14:editId="7D0E57A8">
            <wp:extent cx="5677535" cy="3999230"/>
            <wp:effectExtent l="0" t="0" r="0" b="1270"/>
            <wp:docPr id="20" name="Picture 20" descr="Fauna monitoring_site_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una monitoring_site_location"/>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677535" cy="3999230"/>
                    </a:xfrm>
                    <a:prstGeom prst="rect">
                      <a:avLst/>
                    </a:prstGeom>
                    <a:noFill/>
                    <a:ln>
                      <a:noFill/>
                    </a:ln>
                  </pic:spPr>
                </pic:pic>
              </a:graphicData>
            </a:graphic>
          </wp:inline>
        </w:drawing>
      </w:r>
    </w:p>
    <w:p w:rsidR="001743D6" w:rsidRPr="001743D6" w:rsidRDefault="001743D6" w:rsidP="001743D6">
      <w:pPr>
        <w:spacing w:after="200" w:line="240" w:lineRule="auto"/>
        <w:rPr>
          <w:rFonts w:ascii="Segoe UI Semibold" w:eastAsia="Times New Roman" w:hAnsi="Segoe UI Semibold" w:cs="Times New Roman"/>
          <w:color w:val="016295"/>
        </w:rPr>
      </w:pPr>
      <w:r w:rsidRPr="001743D6">
        <w:rPr>
          <w:rFonts w:ascii="Segoe UI Semibold" w:eastAsia="Times New Roman" w:hAnsi="Segoe UI Semibold" w:cs="Times New Roman"/>
          <w:color w:val="016295"/>
        </w:rPr>
        <w:t xml:space="preserve">Figure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Figure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14</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Monitoring sites across Victoria as recorded in the VBA as at 2018</w:t>
      </w:r>
    </w:p>
    <w:p w:rsidR="001743D6" w:rsidRPr="001743D6" w:rsidRDefault="001743D6" w:rsidP="001743D6">
      <w:pPr>
        <w:rPr>
          <w:rFonts w:ascii="Segoe UI" w:hAnsi="Segoe UI" w:cs="Segoe UI"/>
        </w:rPr>
      </w:pPr>
      <w:r w:rsidRPr="001743D6">
        <w:rPr>
          <w:rFonts w:ascii="Segoe UI" w:hAnsi="Segoe UI" w:cs="Segoe UI"/>
        </w:rPr>
        <w:br w:type="page"/>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57" w:name="_Ref536015144"/>
      <w:bookmarkStart w:id="58" w:name="_Toc3364681"/>
      <w:bookmarkStart w:id="59" w:name="_Toc25660816"/>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33</w:t>
      </w:r>
      <w:r w:rsidRPr="001743D6">
        <w:rPr>
          <w:rFonts w:ascii="Segoe UI Semibold" w:eastAsia="Times New Roman" w:hAnsi="Segoe UI Semibold" w:cs="Times New Roman"/>
          <w:noProof/>
          <w:color w:val="016295"/>
        </w:rPr>
        <w:fldChar w:fldCharType="end"/>
      </w:r>
      <w:bookmarkEnd w:id="57"/>
      <w:r w:rsidRPr="001743D6">
        <w:rPr>
          <w:rFonts w:ascii="Segoe UI Semibold" w:eastAsia="Times New Roman" w:hAnsi="Segoe UI Semibold" w:cs="Times New Roman"/>
          <w:color w:val="016295"/>
        </w:rPr>
        <w:t>: Number of species monitored, by taxonomy types, 2013–17</w:t>
      </w:r>
      <w:bookmarkEnd w:id="58"/>
      <w:bookmarkEnd w:id="59"/>
    </w:p>
    <w:tbl>
      <w:tblPr>
        <w:tblStyle w:val="xTable1"/>
        <w:tblW w:w="8917" w:type="dxa"/>
        <w:tblLayout w:type="fixed"/>
        <w:tblLook w:val="04A0" w:firstRow="1" w:lastRow="0" w:firstColumn="1" w:lastColumn="0" w:noHBand="0" w:noVBand="1"/>
      </w:tblPr>
      <w:tblGrid>
        <w:gridCol w:w="2650"/>
        <w:gridCol w:w="1253"/>
        <w:gridCol w:w="1253"/>
        <w:gridCol w:w="1254"/>
        <w:gridCol w:w="1253"/>
        <w:gridCol w:w="1254"/>
      </w:tblGrid>
      <w:tr w:rsidR="001743D6" w:rsidRPr="001743D6" w:rsidTr="00D06F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50" w:type="dxa"/>
            <w:hideMark/>
          </w:tcPr>
          <w:p w:rsidR="001743D6" w:rsidRPr="001743D6" w:rsidRDefault="001743D6" w:rsidP="001743D6">
            <w:pPr>
              <w:rPr>
                <w:rFonts w:ascii="Segoe UI" w:hAnsi="Segoe UI" w:cs="Segoe UI"/>
              </w:rPr>
            </w:pPr>
            <w:r w:rsidRPr="001743D6">
              <w:rPr>
                <w:rFonts w:ascii="Segoe UI" w:hAnsi="Segoe UI" w:cs="Segoe UI"/>
              </w:rPr>
              <w:t>Taxon group</w:t>
            </w:r>
          </w:p>
        </w:tc>
        <w:tc>
          <w:tcPr>
            <w:tcW w:w="1253"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Central Highlands</w:t>
            </w:r>
          </w:p>
        </w:tc>
        <w:tc>
          <w:tcPr>
            <w:tcW w:w="1253"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East Gippsland</w:t>
            </w:r>
          </w:p>
        </w:tc>
        <w:tc>
          <w:tcPr>
            <w:tcW w:w="125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Gippsland</w:t>
            </w:r>
          </w:p>
        </w:tc>
        <w:tc>
          <w:tcPr>
            <w:tcW w:w="1253"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North East</w:t>
            </w:r>
          </w:p>
        </w:tc>
        <w:tc>
          <w:tcPr>
            <w:tcW w:w="125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West</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Amphibians</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14</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8</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11</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20</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Aquatic invertebrates</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0</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0</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Fish</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7</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13</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13</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7</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7</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Invertebrates</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6</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5</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Mammals</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42</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17</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26</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12</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67</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Marine birds</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0</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0</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0</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Mussels, decapod crustacea</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8</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13</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10</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3</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8</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Non-passerine birds</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36</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12</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18</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9</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42</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Passerine birds</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29</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9</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15</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11</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28</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Reptiles</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21</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10</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10</w:t>
            </w:r>
          </w:p>
        </w:tc>
        <w:tc>
          <w:tcPr>
            <w:tcW w:w="1253"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5</w:t>
            </w:r>
          </w:p>
        </w:tc>
        <w:tc>
          <w:tcPr>
            <w:tcW w:w="125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25</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Waders</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3</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0</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w:t>
            </w:r>
          </w:p>
        </w:tc>
        <w:tc>
          <w:tcPr>
            <w:tcW w:w="1253"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w:t>
            </w:r>
          </w:p>
        </w:tc>
        <w:tc>
          <w:tcPr>
            <w:tcW w:w="125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0" w:type="dxa"/>
          </w:tcPr>
          <w:p w:rsidR="001743D6" w:rsidRPr="001743D6" w:rsidRDefault="001743D6" w:rsidP="001743D6">
            <w:pPr>
              <w:spacing w:after="0" w:line="240" w:lineRule="auto"/>
              <w:rPr>
                <w:rFonts w:ascii="Segoe UI" w:eastAsia="Calibri" w:hAnsi="Segoe UI" w:cs="Calibri"/>
                <w:b/>
                <w:szCs w:val="19"/>
                <w:lang w:eastAsia="en-AU"/>
              </w:rPr>
            </w:pPr>
            <w:r w:rsidRPr="001743D6">
              <w:rPr>
                <w:rFonts w:ascii="Segoe UI" w:eastAsia="Calibri" w:hAnsi="Segoe UI" w:cs="Calibri"/>
                <w:b/>
                <w:szCs w:val="19"/>
                <w:lang w:eastAsia="en-AU"/>
              </w:rPr>
              <w:t>Total</w:t>
            </w:r>
          </w:p>
        </w:tc>
        <w:tc>
          <w:tcPr>
            <w:tcW w:w="1253"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b/>
                <w:szCs w:val="19"/>
                <w:lang w:eastAsia="en-AU"/>
              </w:rPr>
            </w:pPr>
            <w:r w:rsidRPr="001743D6">
              <w:rPr>
                <w:rFonts w:ascii="Segoe UI" w:eastAsia="Calibri" w:hAnsi="Segoe UI" w:cs="Calibri"/>
                <w:b/>
                <w:szCs w:val="19"/>
                <w:lang w:eastAsia="en-AU"/>
              </w:rPr>
              <w:fldChar w:fldCharType="begin"/>
            </w:r>
            <w:r w:rsidRPr="001743D6">
              <w:rPr>
                <w:rFonts w:ascii="Segoe UI" w:eastAsia="Calibri" w:hAnsi="Segoe UI" w:cs="Calibri"/>
                <w:b/>
                <w:szCs w:val="19"/>
                <w:lang w:eastAsia="en-AU"/>
              </w:rPr>
              <w:instrText xml:space="preserve"> =SUM(ABOVE) </w:instrText>
            </w:r>
            <w:r w:rsidRPr="001743D6">
              <w:rPr>
                <w:rFonts w:ascii="Segoe UI" w:eastAsia="Calibri" w:hAnsi="Segoe UI" w:cs="Calibri"/>
                <w:b/>
                <w:szCs w:val="19"/>
                <w:lang w:eastAsia="en-AU"/>
              </w:rPr>
              <w:fldChar w:fldCharType="separate"/>
            </w:r>
            <w:r w:rsidRPr="001743D6">
              <w:rPr>
                <w:rFonts w:ascii="Segoe UI" w:eastAsia="Calibri" w:hAnsi="Segoe UI" w:cs="Calibri"/>
                <w:b/>
                <w:szCs w:val="19"/>
                <w:lang w:eastAsia="en-AU"/>
              </w:rPr>
              <w:t>168</w:t>
            </w:r>
            <w:r w:rsidRPr="001743D6">
              <w:rPr>
                <w:rFonts w:ascii="Segoe UI" w:eastAsia="Calibri" w:hAnsi="Segoe UI" w:cs="Calibri"/>
                <w:b/>
                <w:szCs w:val="19"/>
                <w:lang w:eastAsia="en-AU"/>
              </w:rPr>
              <w:fldChar w:fldCharType="end"/>
            </w:r>
          </w:p>
        </w:tc>
        <w:tc>
          <w:tcPr>
            <w:tcW w:w="1253"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b/>
                <w:szCs w:val="19"/>
                <w:lang w:eastAsia="en-AU"/>
              </w:rPr>
            </w:pPr>
            <w:r w:rsidRPr="001743D6">
              <w:rPr>
                <w:rFonts w:ascii="Segoe UI" w:eastAsia="Calibri" w:hAnsi="Segoe UI" w:cs="Calibri"/>
                <w:b/>
                <w:szCs w:val="19"/>
                <w:lang w:eastAsia="en-AU"/>
              </w:rPr>
              <w:fldChar w:fldCharType="begin"/>
            </w:r>
            <w:r w:rsidRPr="001743D6">
              <w:rPr>
                <w:rFonts w:ascii="Segoe UI" w:eastAsia="Calibri" w:hAnsi="Segoe UI" w:cs="Calibri"/>
                <w:b/>
                <w:szCs w:val="19"/>
                <w:lang w:eastAsia="en-AU"/>
              </w:rPr>
              <w:instrText xml:space="preserve"> =SUM(ABOVE) </w:instrText>
            </w:r>
            <w:r w:rsidRPr="001743D6">
              <w:rPr>
                <w:rFonts w:ascii="Segoe UI" w:eastAsia="Calibri" w:hAnsi="Segoe UI" w:cs="Calibri"/>
                <w:b/>
                <w:szCs w:val="19"/>
                <w:lang w:eastAsia="en-AU"/>
              </w:rPr>
              <w:fldChar w:fldCharType="separate"/>
            </w:r>
            <w:r w:rsidRPr="001743D6">
              <w:rPr>
                <w:rFonts w:ascii="Segoe UI" w:eastAsia="Calibri" w:hAnsi="Segoe UI" w:cs="Calibri"/>
                <w:b/>
                <w:szCs w:val="19"/>
                <w:lang w:eastAsia="en-AU"/>
              </w:rPr>
              <w:t>85</w:t>
            </w:r>
            <w:r w:rsidRPr="001743D6">
              <w:rPr>
                <w:rFonts w:ascii="Segoe UI" w:eastAsia="Calibri" w:hAnsi="Segoe UI" w:cs="Calibri"/>
                <w:b/>
                <w:szCs w:val="19"/>
                <w:lang w:eastAsia="en-AU"/>
              </w:rPr>
              <w:fldChar w:fldCharType="end"/>
            </w:r>
          </w:p>
        </w:tc>
        <w:tc>
          <w:tcPr>
            <w:tcW w:w="125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b/>
                <w:szCs w:val="19"/>
                <w:lang w:eastAsia="en-AU"/>
              </w:rPr>
            </w:pPr>
            <w:r w:rsidRPr="001743D6">
              <w:rPr>
                <w:rFonts w:ascii="Segoe UI" w:eastAsia="Calibri" w:hAnsi="Segoe UI" w:cs="Calibri"/>
                <w:b/>
                <w:szCs w:val="19"/>
                <w:lang w:eastAsia="en-AU"/>
              </w:rPr>
              <w:fldChar w:fldCharType="begin"/>
            </w:r>
            <w:r w:rsidRPr="001743D6">
              <w:rPr>
                <w:rFonts w:ascii="Segoe UI" w:eastAsia="Calibri" w:hAnsi="Segoe UI" w:cs="Calibri"/>
                <w:b/>
                <w:szCs w:val="19"/>
                <w:lang w:eastAsia="en-AU"/>
              </w:rPr>
              <w:instrText xml:space="preserve"> =SUM(ABOVE) </w:instrText>
            </w:r>
            <w:r w:rsidRPr="001743D6">
              <w:rPr>
                <w:rFonts w:ascii="Segoe UI" w:eastAsia="Calibri" w:hAnsi="Segoe UI" w:cs="Calibri"/>
                <w:b/>
                <w:szCs w:val="19"/>
                <w:lang w:eastAsia="en-AU"/>
              </w:rPr>
              <w:fldChar w:fldCharType="separate"/>
            </w:r>
            <w:r w:rsidRPr="001743D6">
              <w:rPr>
                <w:rFonts w:ascii="Segoe UI" w:eastAsia="Calibri" w:hAnsi="Segoe UI" w:cs="Calibri"/>
                <w:b/>
                <w:szCs w:val="19"/>
                <w:lang w:eastAsia="en-AU"/>
              </w:rPr>
              <w:t>109</w:t>
            </w:r>
            <w:r w:rsidRPr="001743D6">
              <w:rPr>
                <w:rFonts w:ascii="Segoe UI" w:eastAsia="Calibri" w:hAnsi="Segoe UI" w:cs="Calibri"/>
                <w:b/>
                <w:szCs w:val="19"/>
                <w:lang w:eastAsia="en-AU"/>
              </w:rPr>
              <w:fldChar w:fldCharType="end"/>
            </w:r>
          </w:p>
        </w:tc>
        <w:tc>
          <w:tcPr>
            <w:tcW w:w="1253"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b/>
                <w:szCs w:val="19"/>
                <w:lang w:eastAsia="en-AU"/>
              </w:rPr>
            </w:pPr>
            <w:r w:rsidRPr="001743D6">
              <w:rPr>
                <w:rFonts w:ascii="Segoe UI" w:eastAsia="Calibri" w:hAnsi="Segoe UI" w:cs="Calibri"/>
                <w:b/>
                <w:szCs w:val="19"/>
                <w:lang w:eastAsia="en-AU"/>
              </w:rPr>
              <w:fldChar w:fldCharType="begin"/>
            </w:r>
            <w:r w:rsidRPr="001743D6">
              <w:rPr>
                <w:rFonts w:ascii="Segoe UI" w:eastAsia="Calibri" w:hAnsi="Segoe UI" w:cs="Calibri"/>
                <w:b/>
                <w:szCs w:val="19"/>
                <w:lang w:eastAsia="en-AU"/>
              </w:rPr>
              <w:instrText xml:space="preserve"> =SUM(ABOVE) </w:instrText>
            </w:r>
            <w:r w:rsidRPr="001743D6">
              <w:rPr>
                <w:rFonts w:ascii="Segoe UI" w:eastAsia="Calibri" w:hAnsi="Segoe UI" w:cs="Calibri"/>
                <w:b/>
                <w:szCs w:val="19"/>
                <w:lang w:eastAsia="en-AU"/>
              </w:rPr>
              <w:fldChar w:fldCharType="separate"/>
            </w:r>
            <w:r w:rsidRPr="001743D6">
              <w:rPr>
                <w:rFonts w:ascii="Segoe UI" w:eastAsia="Calibri" w:hAnsi="Segoe UI" w:cs="Calibri"/>
                <w:b/>
                <w:szCs w:val="19"/>
                <w:lang w:eastAsia="en-AU"/>
              </w:rPr>
              <w:t>53</w:t>
            </w:r>
            <w:r w:rsidRPr="001743D6">
              <w:rPr>
                <w:rFonts w:ascii="Segoe UI" w:eastAsia="Calibri" w:hAnsi="Segoe UI" w:cs="Calibri"/>
                <w:b/>
                <w:szCs w:val="19"/>
                <w:lang w:eastAsia="en-AU"/>
              </w:rPr>
              <w:fldChar w:fldCharType="end"/>
            </w:r>
          </w:p>
        </w:tc>
        <w:tc>
          <w:tcPr>
            <w:tcW w:w="1254" w:type="dxa"/>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b/>
                <w:szCs w:val="19"/>
                <w:lang w:eastAsia="en-AU"/>
              </w:rPr>
            </w:pPr>
            <w:r w:rsidRPr="001743D6">
              <w:rPr>
                <w:rFonts w:ascii="Segoe UI" w:eastAsia="Calibri" w:hAnsi="Segoe UI" w:cs="Calibri"/>
                <w:b/>
                <w:szCs w:val="19"/>
                <w:lang w:eastAsia="en-AU"/>
              </w:rPr>
              <w:fldChar w:fldCharType="begin"/>
            </w:r>
            <w:r w:rsidRPr="001743D6">
              <w:rPr>
                <w:rFonts w:ascii="Segoe UI" w:eastAsia="Calibri" w:hAnsi="Segoe UI" w:cs="Calibri"/>
                <w:b/>
                <w:szCs w:val="19"/>
                <w:lang w:eastAsia="en-AU"/>
              </w:rPr>
              <w:instrText xml:space="preserve"> =SUM(ABOVE) </w:instrText>
            </w:r>
            <w:r w:rsidRPr="001743D6">
              <w:rPr>
                <w:rFonts w:ascii="Segoe UI" w:eastAsia="Calibri" w:hAnsi="Segoe UI" w:cs="Calibri"/>
                <w:b/>
                <w:szCs w:val="19"/>
                <w:lang w:eastAsia="en-AU"/>
              </w:rPr>
              <w:fldChar w:fldCharType="separate"/>
            </w:r>
            <w:r w:rsidRPr="001743D6">
              <w:rPr>
                <w:rFonts w:ascii="Segoe UI" w:eastAsia="Calibri" w:hAnsi="Segoe UI" w:cs="Calibri"/>
                <w:b/>
                <w:szCs w:val="19"/>
                <w:lang w:eastAsia="en-AU"/>
              </w:rPr>
              <w:t>208</w:t>
            </w:r>
            <w:r w:rsidRPr="001743D6">
              <w:rPr>
                <w:rFonts w:ascii="Segoe UI" w:eastAsia="Calibri" w:hAnsi="Segoe UI" w:cs="Calibri"/>
                <w:b/>
                <w:szCs w:val="19"/>
                <w:lang w:eastAsia="en-AU"/>
              </w:rPr>
              <w:fldChar w:fldCharType="end"/>
            </w:r>
          </w:p>
        </w:tc>
      </w:tr>
    </w:tbl>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Source: VBA 2018</w:t>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60" w:name="_Hlk11747546"/>
      <w:bookmarkStart w:id="61" w:name="_Toc25660817"/>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34</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Number of monitoring projects by year</w:t>
      </w:r>
      <w:bookmarkEnd w:id="60"/>
      <w:bookmarkEnd w:id="61"/>
    </w:p>
    <w:tbl>
      <w:tblPr>
        <w:tblStyle w:val="xTable1"/>
        <w:tblW w:w="6804" w:type="dxa"/>
        <w:tblLook w:val="04A0" w:firstRow="1" w:lastRow="0" w:firstColumn="1" w:lastColumn="0" w:noHBand="0" w:noVBand="1"/>
      </w:tblPr>
      <w:tblGrid>
        <w:gridCol w:w="1134"/>
        <w:gridCol w:w="1134"/>
        <w:gridCol w:w="1134"/>
        <w:gridCol w:w="1134"/>
        <w:gridCol w:w="1134"/>
        <w:gridCol w:w="1134"/>
      </w:tblGrid>
      <w:tr w:rsidR="001743D6" w:rsidRPr="001743D6" w:rsidTr="00D06F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34" w:type="dxa"/>
            <w:hideMark/>
          </w:tcPr>
          <w:p w:rsidR="001743D6" w:rsidRPr="001743D6" w:rsidRDefault="001743D6" w:rsidP="001743D6">
            <w:pPr>
              <w:rPr>
                <w:rFonts w:ascii="Segoe UI" w:hAnsi="Segoe UI" w:cs="Segoe UI"/>
                <w:b/>
              </w:rPr>
            </w:pPr>
            <w:r w:rsidRPr="001743D6">
              <w:rPr>
                <w:rFonts w:ascii="Segoe UI" w:hAnsi="Segoe UI" w:cs="Segoe UI"/>
              </w:rPr>
              <w:t>Year</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Central Highlands</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East Gippsland</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Gippsland</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North East</w:t>
            </w:r>
          </w:p>
        </w:tc>
        <w:tc>
          <w:tcPr>
            <w:tcW w:w="1134"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West</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2013</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29</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13</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15</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11</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38</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2014</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27</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12</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18</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6</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42</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2015</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24</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15</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16</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7</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44</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2016</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22</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14</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13</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6</w:t>
            </w:r>
          </w:p>
        </w:tc>
        <w:tc>
          <w:tcPr>
            <w:tcW w:w="1134" w:type="dxa"/>
            <w:hideMark/>
          </w:tcPr>
          <w:p w:rsidR="001743D6" w:rsidRPr="001743D6" w:rsidRDefault="001743D6" w:rsidP="001743D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37</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2017</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12</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11</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12</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5</w:t>
            </w:r>
          </w:p>
        </w:tc>
        <w:tc>
          <w:tcPr>
            <w:tcW w:w="1134" w:type="dxa"/>
            <w:hideMark/>
          </w:tcPr>
          <w:p w:rsidR="001743D6" w:rsidRPr="001743D6" w:rsidRDefault="001743D6" w:rsidP="001743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25</w:t>
            </w:r>
          </w:p>
        </w:tc>
      </w:tr>
    </w:tbl>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Note: ‘Total’ column not included, as many monitoring projects last more than a year, meaning a duplication in counts each year. </w:t>
      </w:r>
    </w:p>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Data source: VBA 2018</w:t>
      </w:r>
    </w:p>
    <w:p w:rsidR="001743D6" w:rsidRPr="001743D6" w:rsidRDefault="001743D6" w:rsidP="001743D6">
      <w:pPr>
        <w:keepNext/>
        <w:keepLines/>
        <w:spacing w:before="40" w:after="40"/>
        <w:outlineLvl w:val="4"/>
        <w:rPr>
          <w:rFonts w:ascii="Segoe UI" w:eastAsia="STZhongsong" w:hAnsi="Segoe UI" w:cs="Majalla UI"/>
          <w:i/>
          <w:color w:val="13345C"/>
        </w:rPr>
      </w:pPr>
      <w:bookmarkStart w:id="62" w:name="_Ref19868883"/>
      <w:r w:rsidRPr="001743D6">
        <w:rPr>
          <w:rFonts w:ascii="Segoe UI" w:eastAsia="STZhongsong" w:hAnsi="Segoe UI" w:cs="Majalla UI"/>
          <w:i/>
          <w:color w:val="13345C"/>
        </w:rPr>
        <w:t>Case study: biodiversity values assessment as part of the Victorian forest modernisation program</w:t>
      </w:r>
      <w:bookmarkEnd w:id="62"/>
      <w:r w:rsidRPr="001743D6">
        <w:rPr>
          <w:rFonts w:ascii="Segoe UI" w:eastAsia="STZhongsong" w:hAnsi="Segoe UI" w:cs="Majalla UI"/>
          <w:i/>
          <w:color w:val="13345C"/>
        </w:rPr>
        <w:t xml:space="preserve"> </w:t>
      </w:r>
    </w:p>
    <w:p w:rsidR="001743D6" w:rsidRPr="001743D6" w:rsidRDefault="001743D6" w:rsidP="001743D6">
      <w:pPr>
        <w:jc w:val="both"/>
        <w:rPr>
          <w:rFonts w:ascii="Segoe UI" w:hAnsi="Segoe UI" w:cs="Segoe UI"/>
        </w:rPr>
      </w:pPr>
      <w:r w:rsidRPr="001743D6">
        <w:rPr>
          <w:rFonts w:ascii="Segoe UI" w:hAnsi="Segoe UI" w:cs="Segoe UI"/>
        </w:rPr>
        <w:t xml:space="preserve">As part of the RFA modernisation program and Victoria’s broader forest management system reform, DELWP has commissioned a number of projects to improve the current information base and knowledge of threatened forest-dependent species and their habitat. These projects include: </w:t>
      </w:r>
    </w:p>
    <w:p w:rsidR="001743D6" w:rsidRPr="001743D6" w:rsidRDefault="001743D6" w:rsidP="001743D6">
      <w:pPr>
        <w:keepNext/>
        <w:keepLines/>
        <w:spacing w:before="40" w:after="0"/>
        <w:jc w:val="both"/>
        <w:outlineLvl w:val="5"/>
        <w:rPr>
          <w:rFonts w:ascii="Gill Sans MT" w:eastAsia="STZhongsong" w:hAnsi="Gill Sans MT" w:cs="Majalla UI"/>
          <w:i/>
          <w:iCs/>
          <w:color w:val="13345C"/>
        </w:rPr>
      </w:pPr>
      <w:r w:rsidRPr="001743D6">
        <w:rPr>
          <w:rFonts w:ascii="Gill Sans MT" w:eastAsia="STZhongsong" w:hAnsi="Gill Sans MT" w:cs="Majalla UI"/>
          <w:i/>
          <w:iCs/>
          <w:color w:val="13345C"/>
        </w:rPr>
        <w:t>Landscape scale survey</w:t>
      </w:r>
    </w:p>
    <w:p w:rsidR="001743D6" w:rsidRPr="001743D6" w:rsidRDefault="001743D6" w:rsidP="001743D6">
      <w:pPr>
        <w:jc w:val="both"/>
        <w:rPr>
          <w:rFonts w:ascii="Segoe UI" w:hAnsi="Segoe UI" w:cs="Segoe UI"/>
        </w:rPr>
      </w:pPr>
      <w:r w:rsidRPr="001743D6">
        <w:rPr>
          <w:rFonts w:ascii="Segoe UI" w:hAnsi="Segoe UI" w:cs="Segoe UI"/>
        </w:rPr>
        <w:t xml:space="preserve">The Arthur </w:t>
      </w:r>
      <w:proofErr w:type="spellStart"/>
      <w:r w:rsidRPr="001743D6">
        <w:rPr>
          <w:rFonts w:ascii="Segoe UI" w:hAnsi="Segoe UI" w:cs="Segoe UI"/>
        </w:rPr>
        <w:t>Rylah</w:t>
      </w:r>
      <w:proofErr w:type="spellEnd"/>
      <w:r w:rsidRPr="001743D6">
        <w:rPr>
          <w:rFonts w:ascii="Segoe UI" w:hAnsi="Segoe UI" w:cs="Segoe UI"/>
        </w:rPr>
        <w:t xml:space="preserve"> Institute (ARI) is collecting new field data on high-priority forest-dependent threatened species from late 2018 to mid-2020. This new on-ground data will be used to improve DELWP’s understanding of where the species are likely to be found across forests in Victoria. It will also help to fine-tune current HDMs, which are based on records of species distribution and abundance stored in the VBA. Researchers will target 10 terrestrial fauna species for surveys in eastern Victoria, including Leadbeater’s Possum, Long-footed Potoroo, gliders and owls, Glossy Black-cockatoo, Large Brown Tree Frog and Giant Burrowing Frog. In addition, surveys will target up to 15 threatened aquatic species (galaxias and crayfish) and 27 threatened plants to improve our understanding of their distribution and enhance their protection. ARI is using a range of methods including motion-sensor cameras, spotlighting and call playback to survey for species. </w:t>
      </w:r>
    </w:p>
    <w:p w:rsidR="001743D6" w:rsidRPr="001743D6" w:rsidRDefault="001743D6" w:rsidP="001743D6">
      <w:pPr>
        <w:jc w:val="both"/>
        <w:rPr>
          <w:rFonts w:ascii="Segoe UI" w:hAnsi="Segoe UI" w:cs="Segoe UI"/>
        </w:rPr>
      </w:pPr>
      <w:r w:rsidRPr="001743D6">
        <w:rPr>
          <w:rFonts w:ascii="Segoe UI" w:hAnsi="Segoe UI" w:cs="Segoe UI"/>
        </w:rPr>
        <w:t xml:space="preserve">Survey locations have been chosen to give the greatest information gain for the HDMs. Survey sites will be located across public and private land as well as on the edge of species range to test understanding of where species do not occur and improve model outputs. This is known as confirming true absence data. Surveys are only occurring in eastern Victoria (east of the Hume Highway). All species that are found through this survey work will be recorded in the VBA, helping to improve the understanding of all species, possibly including other threatened species that are not the targets of specific surveys. </w:t>
      </w:r>
    </w:p>
    <w:p w:rsidR="001743D6" w:rsidRPr="001743D6" w:rsidRDefault="001743D6" w:rsidP="001743D6">
      <w:pPr>
        <w:keepNext/>
        <w:keepLines/>
        <w:spacing w:before="40" w:after="0"/>
        <w:outlineLvl w:val="5"/>
        <w:rPr>
          <w:rFonts w:ascii="Gill Sans MT" w:eastAsia="STZhongsong" w:hAnsi="Gill Sans MT" w:cs="Majalla UI"/>
          <w:i/>
          <w:iCs/>
          <w:color w:val="13345C"/>
        </w:rPr>
      </w:pPr>
      <w:r w:rsidRPr="001743D6">
        <w:rPr>
          <w:rFonts w:ascii="Gill Sans MT" w:eastAsia="STZhongsong" w:hAnsi="Gill Sans MT" w:cs="Majalla UI"/>
          <w:i/>
          <w:iCs/>
          <w:color w:val="13345C"/>
        </w:rPr>
        <w:t>Updated habitat distribution models for key forest-dependent species</w:t>
      </w:r>
    </w:p>
    <w:p w:rsidR="001743D6" w:rsidRPr="001743D6" w:rsidRDefault="001743D6" w:rsidP="001743D6">
      <w:pPr>
        <w:jc w:val="both"/>
        <w:rPr>
          <w:rFonts w:ascii="Segoe UI" w:hAnsi="Segoe UI" w:cs="Segoe UI"/>
        </w:rPr>
      </w:pPr>
      <w:r w:rsidRPr="001743D6">
        <w:rPr>
          <w:rFonts w:ascii="Segoe UI" w:hAnsi="Segoe UI" w:cs="Segoe UI"/>
        </w:rPr>
        <w:t xml:space="preserve">Through the RFA modernisation process, ARI is developing a revised set of HDMs for selected forest-dependent threatened species. This project proposes to develop a series of HDMs that better reflects the current distribution of the selected forest-dependent taxa, particularly with respect to an increasing interest in ‘landscape scale’ threatened species management. </w:t>
      </w:r>
    </w:p>
    <w:p w:rsidR="001743D6" w:rsidRPr="001743D6" w:rsidRDefault="001743D6" w:rsidP="001743D6">
      <w:pPr>
        <w:keepNext/>
        <w:keepLines/>
        <w:spacing w:before="40" w:after="0"/>
        <w:outlineLvl w:val="5"/>
        <w:rPr>
          <w:rFonts w:ascii="Gill Sans MT" w:eastAsia="STZhongsong" w:hAnsi="Gill Sans MT" w:cs="Majalla UI"/>
          <w:i/>
          <w:iCs/>
          <w:color w:val="13345C"/>
        </w:rPr>
      </w:pPr>
      <w:r w:rsidRPr="001743D6">
        <w:rPr>
          <w:rFonts w:ascii="Gill Sans MT" w:eastAsia="STZhongsong" w:hAnsi="Gill Sans MT" w:cs="Majalla UI"/>
          <w:i/>
          <w:iCs/>
          <w:color w:val="13345C"/>
        </w:rPr>
        <w:t>Population viability analysis</w:t>
      </w:r>
    </w:p>
    <w:p w:rsidR="001743D6" w:rsidRPr="001743D6" w:rsidRDefault="001743D6" w:rsidP="001743D6">
      <w:pPr>
        <w:jc w:val="both"/>
        <w:rPr>
          <w:rFonts w:ascii="Segoe UI" w:hAnsi="Segoe UI" w:cs="Segoe UI"/>
        </w:rPr>
      </w:pPr>
      <w:r w:rsidRPr="001743D6">
        <w:rPr>
          <w:rFonts w:ascii="Segoe UI" w:hAnsi="Segoe UI" w:cs="Segoe UI"/>
        </w:rPr>
        <w:t xml:space="preserve">Researchers from the University of Melbourne, with input from DELWP, are undertaking a program to develop spatially explicit population viability models for seven key/focus forest-dependent fauna taxa (Greater Glider, Leadbeater's Possum, Long-footed Potoroo, Powerful Owl, Sooty Owl, Baw </w:t>
      </w:r>
      <w:proofErr w:type="spellStart"/>
      <w:r w:rsidRPr="001743D6">
        <w:rPr>
          <w:rFonts w:ascii="Segoe UI" w:hAnsi="Segoe UI" w:cs="Segoe UI"/>
        </w:rPr>
        <w:t>Baw</w:t>
      </w:r>
      <w:proofErr w:type="spellEnd"/>
      <w:r w:rsidRPr="001743D6">
        <w:rPr>
          <w:rFonts w:ascii="Segoe UI" w:hAnsi="Segoe UI" w:cs="Segoe UI"/>
        </w:rPr>
        <w:t xml:space="preserve"> Frog, Broad-toothed Rat), as well as series of metapopulation analyses for up to 77 other priority forest species. </w:t>
      </w:r>
    </w:p>
    <w:p w:rsidR="001743D6" w:rsidRPr="001743D6" w:rsidRDefault="001743D6" w:rsidP="001743D6">
      <w:pPr>
        <w:keepNext/>
        <w:keepLines/>
        <w:spacing w:before="40" w:after="0"/>
        <w:jc w:val="both"/>
        <w:outlineLvl w:val="5"/>
        <w:rPr>
          <w:rFonts w:ascii="Gill Sans MT" w:eastAsia="STZhongsong" w:hAnsi="Gill Sans MT" w:cs="Majalla UI"/>
          <w:i/>
          <w:iCs/>
          <w:color w:val="13345C"/>
        </w:rPr>
      </w:pPr>
      <w:r w:rsidRPr="001743D6">
        <w:rPr>
          <w:rFonts w:ascii="Gill Sans MT" w:eastAsia="STZhongsong" w:hAnsi="Gill Sans MT" w:cs="Majalla UI"/>
          <w:i/>
          <w:iCs/>
          <w:color w:val="13345C"/>
        </w:rPr>
        <w:t xml:space="preserve">Climate change vulnerability analysis of forest ecosystems </w:t>
      </w:r>
    </w:p>
    <w:p w:rsidR="001743D6" w:rsidRPr="001743D6" w:rsidRDefault="001743D6" w:rsidP="001743D6">
      <w:pPr>
        <w:jc w:val="both"/>
        <w:rPr>
          <w:rFonts w:ascii="Segoe UI" w:hAnsi="Segoe UI" w:cs="Segoe UI"/>
        </w:rPr>
      </w:pPr>
      <w:r w:rsidRPr="001743D6">
        <w:rPr>
          <w:rFonts w:ascii="Segoe UI" w:hAnsi="Segoe UI" w:cs="Segoe UI"/>
        </w:rPr>
        <w:t xml:space="preserve">Over the next 50 years and beyond, climate change will continue to significantly impact our forests and the ecosystems and species they comprise. While it is known that increasing temperatures, reduced rainfall and increased frequency and severity of bushfires and other extreme weather events will impact forests, the potential changes are not clearly understood. </w:t>
      </w:r>
    </w:p>
    <w:p w:rsidR="001743D6" w:rsidRPr="001743D6" w:rsidRDefault="001743D6" w:rsidP="001743D6">
      <w:pPr>
        <w:jc w:val="both"/>
        <w:rPr>
          <w:rFonts w:ascii="Segoe UI" w:hAnsi="Segoe UI" w:cs="Segoe UI"/>
        </w:rPr>
      </w:pPr>
      <w:r w:rsidRPr="001743D6">
        <w:rPr>
          <w:rFonts w:ascii="Segoe UI" w:hAnsi="Segoe UI" w:cs="Segoe UI"/>
        </w:rPr>
        <w:t xml:space="preserve">Forest changes due to climate change are a complex web of interacting factors. Climate change impacts in Victoria’s forests are currently difficult to predict due to limited field-based forest experimentation. In addition, many climate change and ecological modelling approaches are still in the early stages of development, particularly regarding their application to Australia’s forests. </w:t>
      </w:r>
    </w:p>
    <w:p w:rsidR="001743D6" w:rsidRPr="001743D6" w:rsidRDefault="001743D6" w:rsidP="001743D6">
      <w:pPr>
        <w:jc w:val="both"/>
        <w:rPr>
          <w:rFonts w:ascii="Segoe UI" w:hAnsi="Segoe UI" w:cs="Segoe UI"/>
        </w:rPr>
      </w:pPr>
      <w:bookmarkStart w:id="63" w:name="_Hlk17305093"/>
      <w:r w:rsidRPr="001743D6">
        <w:rPr>
          <w:rFonts w:ascii="Segoe UI" w:hAnsi="Segoe UI" w:cs="Segoe UI"/>
        </w:rPr>
        <w:t xml:space="preserve">DELWP has commissioned a project to identify key EVCs and key forest-dependent species impacted by timber harvesting that are most vulnerable to climate change. This information will be brought together to help inform decisions and assist the government in considering measures to better manage and protect those communities and species most vulnerable to the impacts of climate change as part of the RFA modernisation process. </w:t>
      </w:r>
    </w:p>
    <w:bookmarkEnd w:id="63"/>
    <w:p w:rsidR="001743D6" w:rsidRPr="001743D6" w:rsidRDefault="001743D6" w:rsidP="001743D6">
      <w:pPr>
        <w:jc w:val="both"/>
        <w:rPr>
          <w:rFonts w:ascii="Segoe UI" w:hAnsi="Segoe UI" w:cs="Segoe UI"/>
        </w:rPr>
      </w:pPr>
      <w:r w:rsidRPr="001743D6">
        <w:rPr>
          <w:rFonts w:ascii="Segoe UI" w:hAnsi="Segoe UI" w:cs="Segoe UI"/>
        </w:rPr>
        <w:t>A longer-term piece of work is required to determine how Victoria’s forests can be better protected from the impacts of climate change. This includes consideration of the optimal scale and design of a ‘climate smart’ CAR reserve system.</w:t>
      </w:r>
    </w:p>
    <w:p w:rsidR="001743D6" w:rsidRPr="001743D6" w:rsidRDefault="001743D6" w:rsidP="001743D6">
      <w:pPr>
        <w:jc w:val="both"/>
        <w:rPr>
          <w:rFonts w:ascii="Segoe UI" w:hAnsi="Segoe UI" w:cs="Segoe UI"/>
        </w:rPr>
      </w:pPr>
      <w:r w:rsidRPr="001743D6">
        <w:rPr>
          <w:rFonts w:ascii="Segoe UI" w:hAnsi="Segoe UI" w:cs="Segoe UI"/>
        </w:rPr>
        <w:t>There are a number of discrete and complementary analyses that will provide information to help identify and inform the current state of ecological vegetation communities. They can also provide information on those communities and forest-dependent species most vulnerable to climate change over a 50-year outlook, given various climate scenarios. Useful information to be collected is as follows:</w:t>
      </w:r>
    </w:p>
    <w:p w:rsidR="001743D6" w:rsidRPr="003E70FC" w:rsidRDefault="001743D6" w:rsidP="003E70FC">
      <w:pPr>
        <w:pStyle w:val="ListParagraph"/>
        <w:numPr>
          <w:ilvl w:val="0"/>
          <w:numId w:val="47"/>
        </w:numPr>
        <w:ind w:left="851" w:hanging="425"/>
      </w:pPr>
      <w:r w:rsidRPr="003E70FC">
        <w:t>current EVC status for recent fire history and tolerable fire interval</w:t>
      </w:r>
    </w:p>
    <w:p w:rsidR="001743D6" w:rsidRPr="003E70FC" w:rsidRDefault="001743D6" w:rsidP="003E70FC">
      <w:pPr>
        <w:pStyle w:val="ListParagraph"/>
        <w:numPr>
          <w:ilvl w:val="0"/>
          <w:numId w:val="47"/>
        </w:numPr>
        <w:ind w:left="851" w:hanging="425"/>
      </w:pPr>
      <w:r w:rsidRPr="003E70FC">
        <w:t>ecological niche analysis of key forest-based EVCs and key forest-dependent species under climate scenarios Representative Concentration Pathway (RCP) 2.6, 4.5, 6.0 and 8.5</w:t>
      </w:r>
    </w:p>
    <w:p w:rsidR="001743D6" w:rsidRPr="003E70FC" w:rsidRDefault="001743D6" w:rsidP="003E70FC">
      <w:pPr>
        <w:pStyle w:val="ListParagraph"/>
        <w:numPr>
          <w:ilvl w:val="0"/>
          <w:numId w:val="47"/>
        </w:numPr>
        <w:ind w:left="851" w:hanging="425"/>
      </w:pPr>
      <w:r w:rsidRPr="003E70FC">
        <w:t>expert elicitation of climate change vulnerability for key forest-dependent species under climate scenarios RCP 2.6 and 8.5.</w:t>
      </w:r>
    </w:p>
    <w:p w:rsidR="001743D6" w:rsidRPr="001743D6" w:rsidRDefault="001743D6" w:rsidP="001743D6">
      <w:pPr>
        <w:jc w:val="both"/>
        <w:rPr>
          <w:rFonts w:ascii="Segoe UI" w:hAnsi="Segoe UI" w:cs="Segoe UI"/>
        </w:rPr>
      </w:pPr>
      <w:r w:rsidRPr="001743D6">
        <w:rPr>
          <w:rFonts w:ascii="Segoe UI" w:hAnsi="Segoe UI" w:cs="Segoe UI"/>
        </w:rPr>
        <w:t>Results from the various analyses will provide a current status of the tolerable fire interval of forest-based EVCs, which can be used as a surrogate for ecosystem resilience and potential current vulnerability of these communities. In addition, for key forest-based EVCs a climate niche analysis under a range of RCP climate change scenarios will provide a comparison of the modelled distribution of the ecological niche of EVCs under current climate with future modelled distributions (overlap analysis). This will determine the distribution of current areas that remain suitable under future climate scenarios.</w:t>
      </w:r>
    </w:p>
    <w:p w:rsidR="001743D6" w:rsidRPr="001743D6" w:rsidRDefault="001743D6" w:rsidP="001743D6">
      <w:pPr>
        <w:jc w:val="both"/>
        <w:rPr>
          <w:rFonts w:ascii="Segoe UI" w:hAnsi="Segoe UI" w:cs="Segoe UI"/>
        </w:rPr>
      </w:pPr>
      <w:r w:rsidRPr="001743D6">
        <w:rPr>
          <w:rFonts w:ascii="Segoe UI" w:hAnsi="Segoe UI" w:cs="Segoe UI"/>
        </w:rPr>
        <w:t>Results for key forest-dependent species include a climate niche analysis as for the EVCs for those species able to be modelled under two climate scenarios, combined with expert elicitation. The models and information are considered, if experts choose to, among a range of other information and judgements by experts involved in the elicitation process, to judge key forest-dependent species vulnerability to climate change. The formal elicitation will identify the following across all five RFA regions:</w:t>
      </w:r>
    </w:p>
    <w:p w:rsidR="001743D6" w:rsidRPr="003E70FC" w:rsidRDefault="001743D6" w:rsidP="003E70FC">
      <w:pPr>
        <w:pStyle w:val="ListParagraph"/>
        <w:numPr>
          <w:ilvl w:val="0"/>
          <w:numId w:val="48"/>
        </w:numPr>
        <w:ind w:left="851" w:hanging="425"/>
      </w:pPr>
      <w:r w:rsidRPr="003E70FC">
        <w:t>the perceived level of vulnerability to climate change over a 50-year time frame, considering climate scenarios RCP 2.6 and RCP 8.5</w:t>
      </w:r>
    </w:p>
    <w:p w:rsidR="001743D6" w:rsidRPr="003E70FC" w:rsidRDefault="001743D6" w:rsidP="003E70FC">
      <w:pPr>
        <w:pStyle w:val="ListParagraph"/>
        <w:numPr>
          <w:ilvl w:val="0"/>
          <w:numId w:val="48"/>
        </w:numPr>
        <w:ind w:left="851" w:hanging="425"/>
      </w:pPr>
      <w:r w:rsidRPr="003E70FC">
        <w:t>the perceived causes of decline</w:t>
      </w:r>
    </w:p>
    <w:p w:rsidR="001743D6" w:rsidRPr="003E70FC" w:rsidRDefault="001743D6" w:rsidP="003E70FC">
      <w:pPr>
        <w:pStyle w:val="ListParagraph"/>
        <w:numPr>
          <w:ilvl w:val="0"/>
          <w:numId w:val="48"/>
        </w:numPr>
        <w:ind w:left="851" w:hanging="425"/>
      </w:pPr>
      <w:r w:rsidRPr="003E70FC">
        <w:t>candidate protection measures or other conservation actions that may mitigate risks that could be considered in the short term under the RFA modernisation process and forest management planning process to adequately manage and protect those species and communities most vulnerable to climate change.</w:t>
      </w:r>
    </w:p>
    <w:p w:rsidR="001743D6" w:rsidRPr="001743D6" w:rsidRDefault="001743D6" w:rsidP="001743D6">
      <w:pPr>
        <w:keepNext/>
        <w:keepLines/>
        <w:spacing w:before="40" w:after="0"/>
        <w:jc w:val="both"/>
        <w:outlineLvl w:val="5"/>
        <w:rPr>
          <w:rFonts w:ascii="Gill Sans MT" w:eastAsia="STZhongsong" w:hAnsi="Gill Sans MT" w:cs="Majalla UI"/>
          <w:i/>
          <w:iCs/>
          <w:color w:val="13345C"/>
        </w:rPr>
      </w:pPr>
      <w:r w:rsidRPr="001743D6">
        <w:rPr>
          <w:rFonts w:ascii="Gill Sans MT" w:eastAsia="STZhongsong" w:hAnsi="Gill Sans MT" w:cs="Majalla UI"/>
          <w:i/>
          <w:iCs/>
          <w:color w:val="13345C"/>
        </w:rPr>
        <w:t xml:space="preserve">Integrated biodiversity values model </w:t>
      </w:r>
    </w:p>
    <w:p w:rsidR="001743D6" w:rsidRPr="001743D6" w:rsidDel="00C81B0F" w:rsidRDefault="001743D6" w:rsidP="001743D6">
      <w:pPr>
        <w:jc w:val="both"/>
        <w:rPr>
          <w:rFonts w:ascii="Segoe UI" w:hAnsi="Segoe UI" w:cs="Segoe UI"/>
        </w:rPr>
      </w:pPr>
      <w:r w:rsidRPr="001743D6">
        <w:rPr>
          <w:rFonts w:ascii="Segoe UI" w:hAnsi="Segoe UI" w:cs="Segoe UI"/>
        </w:rPr>
        <w:t xml:space="preserve">The purpose of the integrated biodiversity values model (IBVM) is to provide indicative spatial representations of relevant biodiversity ‘value’ which can support structured decision-making relating to forest and fire management planning. This product is a prototype grid-based spatial dataset incorporating attributes of specific biodiversity values (habitat for forest-dependent threatened species, forest ecosystems and old-growth forest – where available) across multiple layers. The IBVM will assist in decision-making around what areas of the forest estate should be prioritised for conservation, given (1) the distribution of biodiversity values, and (2) the predicted future state of biodiversity under scenarios of disturbance. Zonation algorithms are used to consider each grid cell’s relative contribution to net habitat (extent and quality). </w:t>
      </w:r>
      <w:bookmarkStart w:id="64" w:name="_Hlk15368744"/>
    </w:p>
    <w:p w:rsidR="001743D6" w:rsidRPr="001743D6" w:rsidRDefault="001743D6" w:rsidP="001743D6">
      <w:pPr>
        <w:rPr>
          <w:rFonts w:ascii="Segoe UI" w:hAnsi="Segoe UI" w:cs="Segoe UI"/>
          <w:b/>
          <w:color w:val="000000"/>
          <w:sz w:val="24"/>
          <w:szCs w:val="24"/>
        </w:rPr>
      </w:pPr>
      <w:bookmarkStart w:id="65" w:name="_Toc11768313"/>
      <w:bookmarkEnd w:id="64"/>
      <w:r w:rsidRPr="001743D6">
        <w:rPr>
          <w:rFonts w:ascii="Segoe UI" w:hAnsi="Segoe UI" w:cs="Segoe UI"/>
        </w:rPr>
        <w:br w:type="page"/>
      </w:r>
    </w:p>
    <w:p w:rsidR="001743D6" w:rsidRPr="001743D6" w:rsidRDefault="001743D6" w:rsidP="001743D6">
      <w:pPr>
        <w:keepNext/>
        <w:spacing w:before="240" w:after="240" w:line="240" w:lineRule="auto"/>
        <w:outlineLvl w:val="2"/>
        <w:rPr>
          <w:rFonts w:ascii="Segoe UI" w:hAnsi="Segoe UI" w:cs="Segoe UI"/>
          <w:b/>
          <w:color w:val="000000"/>
          <w:sz w:val="24"/>
          <w:szCs w:val="24"/>
        </w:rPr>
      </w:pPr>
      <w:bookmarkStart w:id="66" w:name="_Toc30491995"/>
      <w:bookmarkStart w:id="67" w:name="_Toc33002092"/>
      <w:r w:rsidRPr="001743D6">
        <w:rPr>
          <w:rFonts w:ascii="Segoe UI" w:hAnsi="Segoe UI" w:cs="Segoe UI"/>
          <w:b/>
          <w:color w:val="000000"/>
          <w:sz w:val="24"/>
          <w:szCs w:val="24"/>
        </w:rPr>
        <w:t>Indicator 1.3a: Forest associated species at risk from isolation and the loss of genetic variation, and conservation efforts for those species</w:t>
      </w:r>
      <w:bookmarkEnd w:id="65"/>
      <w:bookmarkEnd w:id="66"/>
      <w:bookmarkEnd w:id="67"/>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Risk of isolation and loss of genetic variation</w:t>
      </w:r>
    </w:p>
    <w:p w:rsidR="001743D6" w:rsidRPr="001743D6" w:rsidRDefault="001743D6" w:rsidP="001743D6">
      <w:pPr>
        <w:jc w:val="both"/>
        <w:rPr>
          <w:rFonts w:ascii="Segoe UI" w:hAnsi="Segoe UI" w:cs="Segoe UI"/>
        </w:rPr>
      </w:pPr>
      <w:r w:rsidRPr="001743D6">
        <w:rPr>
          <w:rFonts w:ascii="Segoe UI" w:hAnsi="Segoe UI" w:cs="Segoe UI"/>
        </w:rPr>
        <w:t>This indicator assesses the risks to loss of forest genetic variation and describes the formal measures designed to mitigate this risk. A loss of genetic diversity in species can result in a decreased ability to adapt to future environmental change, and thus a higher risk of extinction.</w:t>
      </w:r>
    </w:p>
    <w:p w:rsidR="001743D6" w:rsidRPr="001743D6" w:rsidRDefault="001743D6" w:rsidP="001743D6">
      <w:pPr>
        <w:jc w:val="both"/>
        <w:rPr>
          <w:rFonts w:ascii="Segoe UI" w:hAnsi="Segoe UI" w:cs="Segoe UI"/>
        </w:rPr>
      </w:pPr>
      <w:r w:rsidRPr="001743D6">
        <w:rPr>
          <w:rFonts w:ascii="Segoe UI" w:hAnsi="Segoe UI" w:cs="Segoe UI"/>
        </w:rPr>
        <w:t xml:space="preserve">Information on the number of forest-dependent species at risk from isolation is relatively limited and difficult to consolidate on a </w:t>
      </w:r>
      <w:proofErr w:type="spellStart"/>
      <w:r w:rsidRPr="001743D6">
        <w:rPr>
          <w:rFonts w:ascii="Segoe UI" w:hAnsi="Segoe UI" w:cs="Segoe UI"/>
        </w:rPr>
        <w:t>statewide</w:t>
      </w:r>
      <w:proofErr w:type="spellEnd"/>
      <w:r w:rsidRPr="001743D6">
        <w:rPr>
          <w:rFonts w:ascii="Segoe UI" w:hAnsi="Segoe UI" w:cs="Segoe UI"/>
        </w:rPr>
        <w:t xml:space="preserve"> scale; however, there are a number of studies that detail some species that are at particular risk, and also discuss some techniques to alleviate that risk. A selection of these studies is outlined in </w:t>
      </w:r>
      <w:r w:rsidRPr="001743D6">
        <w:rPr>
          <w:rFonts w:ascii="Segoe UI" w:hAnsi="Segoe UI" w:cs="Segoe UI"/>
        </w:rPr>
        <w:fldChar w:fldCharType="begin"/>
      </w:r>
      <w:r w:rsidRPr="001743D6">
        <w:rPr>
          <w:rFonts w:ascii="Segoe UI" w:hAnsi="Segoe UI" w:cs="Segoe UI"/>
        </w:rPr>
        <w:instrText xml:space="preserve"> REF _Ref14777658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Table </w:t>
      </w:r>
      <w:r w:rsidRPr="001743D6">
        <w:rPr>
          <w:rFonts w:ascii="Segoe UI" w:hAnsi="Segoe UI" w:cs="Segoe UI"/>
          <w:noProof/>
        </w:rPr>
        <w:t>35</w:t>
      </w:r>
      <w:r w:rsidRPr="001743D6">
        <w:rPr>
          <w:rFonts w:ascii="Segoe UI" w:hAnsi="Segoe UI" w:cs="Segoe UI"/>
        </w:rPr>
        <w:fldChar w:fldCharType="end"/>
      </w:r>
      <w:r w:rsidRPr="001743D6">
        <w:rPr>
          <w:rFonts w:ascii="Segoe UI" w:hAnsi="Segoe UI" w:cs="Segoe UI"/>
        </w:rPr>
        <w:t xml:space="preserve">. </w:t>
      </w:r>
    </w:p>
    <w:p w:rsidR="001743D6" w:rsidRPr="001743D6" w:rsidRDefault="001743D6" w:rsidP="001743D6">
      <w:pPr>
        <w:jc w:val="both"/>
        <w:rPr>
          <w:rFonts w:ascii="Segoe UI" w:hAnsi="Segoe UI" w:cs="Segoe UI"/>
        </w:rPr>
      </w:pPr>
      <w:r w:rsidRPr="001743D6">
        <w:rPr>
          <w:rFonts w:ascii="Segoe UI" w:hAnsi="Segoe UI" w:cs="Segoe UI"/>
        </w:rPr>
        <w:t xml:space="preserve">Isolated populations of a species are in greater danger of extinction due to genetic drift. Genetic drift is the loss of genetic variation in a small isolated population, which decreases a population’s ability to cope with changes in environment, and increases the effect and prevalence of genetic disease, due to inbreeding within the small population. </w:t>
      </w:r>
    </w:p>
    <w:p w:rsidR="001743D6" w:rsidRPr="001743D6" w:rsidRDefault="001743D6" w:rsidP="001743D6">
      <w:pPr>
        <w:jc w:val="both"/>
        <w:rPr>
          <w:rFonts w:ascii="Segoe UI" w:hAnsi="Segoe UI" w:cs="Segoe UI"/>
        </w:rPr>
      </w:pPr>
      <w:r w:rsidRPr="001743D6">
        <w:rPr>
          <w:rFonts w:ascii="Segoe UI" w:hAnsi="Segoe UI" w:cs="Segoe UI"/>
        </w:rPr>
        <w:t xml:space="preserve">Amos et al. (2014) showed that a suite of woodland-occupying birds in central Victoria were at risk of genetic decline, largely due to habitat fragmentation. They found that these effects would be greater where habitat fragmentation was greatest and would affect the least dispersive species over more dispersive ones. </w:t>
      </w:r>
    </w:p>
    <w:p w:rsidR="001743D6" w:rsidRPr="001743D6" w:rsidRDefault="001743D6" w:rsidP="001743D6">
      <w:pPr>
        <w:jc w:val="both"/>
        <w:rPr>
          <w:rFonts w:ascii="Segoe UI" w:hAnsi="Segoe UI" w:cs="Segoe UI"/>
        </w:rPr>
      </w:pPr>
      <w:r w:rsidRPr="001743D6">
        <w:rPr>
          <w:rFonts w:ascii="Segoe UI" w:hAnsi="Segoe UI" w:cs="Segoe UI"/>
        </w:rPr>
        <w:t xml:space="preserve">Genetic rescue – the addition of genes from an external population of the same taxa, but from a different, broader population – has been shown to alleviate some of the consequences of genetic drift and inbreeding, allowing a fitter overall population. In the case of the Mt Buller Mountain Pygmy-possum population, individuals from a larger, more diverse population were introduced to the site, along with more traditional management strategies, such as habitat restoration and construction of corridors linking suitable habitat, greatly increasing the chances of survival of this population. </w:t>
      </w:r>
    </w:p>
    <w:p w:rsidR="001743D6" w:rsidRPr="001743D6" w:rsidRDefault="001743D6" w:rsidP="001743D6">
      <w:pPr>
        <w:jc w:val="both"/>
        <w:rPr>
          <w:rFonts w:ascii="Segoe UI" w:hAnsi="Segoe UI" w:cs="Segoe UI"/>
        </w:rPr>
      </w:pPr>
      <w:r w:rsidRPr="001743D6">
        <w:rPr>
          <w:rFonts w:ascii="Segoe UI" w:hAnsi="Segoe UI" w:cs="Segoe UI"/>
        </w:rPr>
        <w:t xml:space="preserve">Where a closely related </w:t>
      </w:r>
      <w:proofErr w:type="spellStart"/>
      <w:r w:rsidRPr="001743D6">
        <w:rPr>
          <w:rFonts w:ascii="Segoe UI" w:hAnsi="Segoe UI" w:cs="Segoe UI"/>
        </w:rPr>
        <w:t>taxon</w:t>
      </w:r>
      <w:proofErr w:type="spellEnd"/>
      <w:r w:rsidRPr="001743D6">
        <w:rPr>
          <w:rFonts w:ascii="Segoe UI" w:hAnsi="Segoe UI" w:cs="Segoe UI"/>
        </w:rPr>
        <w:t xml:space="preserve"> exists and is known to have interbred with the threatened taxon previously (e.g. breeding Helmeted Honeyeater (</w:t>
      </w:r>
      <w:proofErr w:type="spellStart"/>
      <w:r w:rsidRPr="001743D6">
        <w:rPr>
          <w:rFonts w:ascii="Segoe UI" w:hAnsi="Segoe UI" w:cs="Segoe UI"/>
          <w:i/>
        </w:rPr>
        <w:t>Lichenostomus</w:t>
      </w:r>
      <w:proofErr w:type="spellEnd"/>
      <w:r w:rsidRPr="001743D6">
        <w:rPr>
          <w:rFonts w:ascii="Segoe UI" w:hAnsi="Segoe UI" w:cs="Segoe UI"/>
          <w:i/>
        </w:rPr>
        <w:t xml:space="preserve"> </w:t>
      </w:r>
      <w:proofErr w:type="spellStart"/>
      <w:r w:rsidRPr="001743D6">
        <w:rPr>
          <w:rFonts w:ascii="Segoe UI" w:hAnsi="Segoe UI" w:cs="Segoe UI"/>
          <w:i/>
        </w:rPr>
        <w:t>melanops</w:t>
      </w:r>
      <w:proofErr w:type="spellEnd"/>
      <w:r w:rsidRPr="001743D6">
        <w:rPr>
          <w:rFonts w:ascii="Segoe UI" w:hAnsi="Segoe UI" w:cs="Segoe UI"/>
          <w:i/>
        </w:rPr>
        <w:t xml:space="preserve"> </w:t>
      </w:r>
      <w:proofErr w:type="spellStart"/>
      <w:r w:rsidRPr="001743D6">
        <w:rPr>
          <w:rFonts w:ascii="Segoe UI" w:hAnsi="Segoe UI" w:cs="Segoe UI"/>
          <w:i/>
        </w:rPr>
        <w:t>cassidix</w:t>
      </w:r>
      <w:proofErr w:type="spellEnd"/>
      <w:r w:rsidRPr="001743D6">
        <w:rPr>
          <w:rFonts w:ascii="Segoe UI" w:hAnsi="Segoe UI" w:cs="Segoe UI"/>
        </w:rPr>
        <w:t>) with another subspecies of the Yellow-tufted Honeyeater (</w:t>
      </w:r>
      <w:r w:rsidRPr="001743D6">
        <w:rPr>
          <w:rFonts w:ascii="Segoe UI" w:hAnsi="Segoe UI" w:cs="Segoe UI"/>
          <w:i/>
        </w:rPr>
        <w:t xml:space="preserve">L. m. </w:t>
      </w:r>
      <w:proofErr w:type="spellStart"/>
      <w:r w:rsidRPr="001743D6">
        <w:rPr>
          <w:rFonts w:ascii="Segoe UI" w:hAnsi="Segoe UI" w:cs="Segoe UI"/>
          <w:i/>
        </w:rPr>
        <w:t>gippslandicus</w:t>
      </w:r>
      <w:proofErr w:type="spellEnd"/>
      <w:r w:rsidRPr="001743D6">
        <w:rPr>
          <w:rFonts w:ascii="Segoe UI" w:hAnsi="Segoe UI" w:cs="Segoe UI"/>
        </w:rPr>
        <w:t xml:space="preserve">)), interbreeding may be successful in reducing loss of genetic variety; however, overuse of this technique will result in the threatened population’s genetics being ‘diluted’ by the larger population’s. It is suggested that only four new individuals per generation be introduced to the gene pool to allow for this dilution (Harrison et al. 2016). </w:t>
      </w:r>
    </w:p>
    <w:p w:rsidR="001743D6" w:rsidRPr="001743D6" w:rsidRDefault="001743D6" w:rsidP="001743D6">
      <w:pPr>
        <w:jc w:val="both"/>
        <w:rPr>
          <w:rFonts w:ascii="Segoe UI" w:hAnsi="Segoe UI" w:cs="Segoe UI"/>
        </w:rPr>
      </w:pPr>
      <w:r w:rsidRPr="001743D6">
        <w:rPr>
          <w:rFonts w:ascii="Segoe UI" w:hAnsi="Segoe UI" w:cs="Segoe UI"/>
        </w:rPr>
        <w:t xml:space="preserve">Weeks, </w:t>
      </w:r>
      <w:proofErr w:type="spellStart"/>
      <w:r w:rsidRPr="001743D6">
        <w:rPr>
          <w:rFonts w:ascii="Segoe UI" w:hAnsi="Segoe UI" w:cs="Segoe UI"/>
        </w:rPr>
        <w:t>Stoklosa</w:t>
      </w:r>
      <w:proofErr w:type="spellEnd"/>
      <w:r w:rsidRPr="001743D6">
        <w:rPr>
          <w:rFonts w:ascii="Segoe UI" w:hAnsi="Segoe UI" w:cs="Segoe UI"/>
        </w:rPr>
        <w:t xml:space="preserve"> and Hoffman (2016) discuss various management programs for threatened mammals across Australia and demonstrate that managing small populations as separate genetic populations to the remainder of the species may contribute to the decline of these species as a whole. </w:t>
      </w:r>
    </w:p>
    <w:p w:rsidR="001743D6" w:rsidRPr="001743D6" w:rsidRDefault="001743D6" w:rsidP="001743D6">
      <w:pPr>
        <w:jc w:val="both"/>
        <w:rPr>
          <w:rFonts w:ascii="Segoe UI" w:hAnsi="Segoe UI" w:cs="Segoe UI"/>
        </w:rPr>
      </w:pPr>
      <w:r w:rsidRPr="001743D6">
        <w:rPr>
          <w:rFonts w:ascii="Segoe UI" w:hAnsi="Segoe UI" w:cs="Segoe UI"/>
        </w:rPr>
        <w:t>Conversely, Hansen and Taylor (2008) show that an isolated population of Leadbeater’s Possum (</w:t>
      </w:r>
      <w:proofErr w:type="spellStart"/>
      <w:r w:rsidRPr="001743D6">
        <w:rPr>
          <w:rFonts w:ascii="Segoe UI" w:hAnsi="Segoe UI" w:cs="Segoe UI"/>
          <w:i/>
        </w:rPr>
        <w:t>Gymnobelideus</w:t>
      </w:r>
      <w:proofErr w:type="spellEnd"/>
      <w:r w:rsidRPr="001743D6">
        <w:rPr>
          <w:rFonts w:ascii="Segoe UI" w:hAnsi="Segoe UI" w:cs="Segoe UI"/>
          <w:i/>
        </w:rPr>
        <w:t xml:space="preserve"> </w:t>
      </w:r>
      <w:proofErr w:type="spellStart"/>
      <w:r w:rsidRPr="001743D6">
        <w:rPr>
          <w:rFonts w:ascii="Segoe UI" w:hAnsi="Segoe UI" w:cs="Segoe UI"/>
          <w:i/>
        </w:rPr>
        <w:t>leadbeateri</w:t>
      </w:r>
      <w:proofErr w:type="spellEnd"/>
      <w:r w:rsidRPr="001743D6">
        <w:rPr>
          <w:rFonts w:ascii="Segoe UI" w:hAnsi="Segoe UI" w:cs="Segoe UI"/>
        </w:rPr>
        <w:t xml:space="preserve">) may not benefit from genetic rescue, as the population has evolved separately to occupy a markedly different habitat (lowland swamp forests, </w:t>
      </w:r>
      <w:r w:rsidRPr="001743D6">
        <w:rPr>
          <w:rFonts w:ascii="Segoe UI" w:hAnsi="Segoe UI" w:cs="Segoe UI"/>
          <w:i/>
        </w:rPr>
        <w:t xml:space="preserve">Eucalyptus </w:t>
      </w:r>
      <w:proofErr w:type="spellStart"/>
      <w:r w:rsidRPr="001743D6">
        <w:rPr>
          <w:rFonts w:ascii="Segoe UI" w:hAnsi="Segoe UI" w:cs="Segoe UI"/>
          <w:i/>
        </w:rPr>
        <w:t>camphora</w:t>
      </w:r>
      <w:proofErr w:type="spellEnd"/>
      <w:r w:rsidRPr="001743D6">
        <w:rPr>
          <w:rFonts w:ascii="Segoe UI" w:hAnsi="Segoe UI" w:cs="Segoe UI"/>
        </w:rPr>
        <w:t xml:space="preserve">, </w:t>
      </w:r>
      <w:r w:rsidRPr="001743D6">
        <w:rPr>
          <w:rFonts w:ascii="Segoe UI" w:hAnsi="Segoe UI" w:cs="Segoe UI"/>
          <w:i/>
        </w:rPr>
        <w:t>Leptospermum</w:t>
      </w:r>
      <w:r w:rsidRPr="001743D6">
        <w:rPr>
          <w:rFonts w:ascii="Segoe UI" w:hAnsi="Segoe UI" w:cs="Segoe UI"/>
        </w:rPr>
        <w:t xml:space="preserve"> spp. and </w:t>
      </w:r>
      <w:r w:rsidRPr="001743D6">
        <w:rPr>
          <w:rFonts w:ascii="Segoe UI" w:hAnsi="Segoe UI" w:cs="Segoe UI"/>
          <w:i/>
        </w:rPr>
        <w:t>Melaleuca</w:t>
      </w:r>
      <w:r w:rsidRPr="001743D6">
        <w:rPr>
          <w:rFonts w:ascii="Segoe UI" w:hAnsi="Segoe UI" w:cs="Segoe UI"/>
        </w:rPr>
        <w:t xml:space="preserve"> spp.) to that of the main population (montane wet forests, </w:t>
      </w:r>
      <w:r w:rsidRPr="001743D6">
        <w:rPr>
          <w:rFonts w:ascii="Segoe UI" w:hAnsi="Segoe UI" w:cs="Segoe UI"/>
          <w:i/>
        </w:rPr>
        <w:t xml:space="preserve">E. </w:t>
      </w:r>
      <w:proofErr w:type="spellStart"/>
      <w:r w:rsidRPr="001743D6">
        <w:rPr>
          <w:rFonts w:ascii="Segoe UI" w:hAnsi="Segoe UI" w:cs="Segoe UI"/>
          <w:i/>
        </w:rPr>
        <w:t>regnans</w:t>
      </w:r>
      <w:proofErr w:type="spellEnd"/>
      <w:r w:rsidRPr="001743D6">
        <w:rPr>
          <w:rFonts w:ascii="Segoe UI" w:hAnsi="Segoe UI" w:cs="Segoe UI"/>
        </w:rPr>
        <w:t xml:space="preserve">, </w:t>
      </w:r>
      <w:r w:rsidRPr="001743D6">
        <w:rPr>
          <w:rFonts w:ascii="Segoe UI" w:hAnsi="Segoe UI" w:cs="Segoe UI"/>
          <w:i/>
        </w:rPr>
        <w:t xml:space="preserve">E. </w:t>
      </w:r>
      <w:proofErr w:type="spellStart"/>
      <w:r w:rsidRPr="001743D6">
        <w:rPr>
          <w:rFonts w:ascii="Segoe UI" w:hAnsi="Segoe UI" w:cs="Segoe UI"/>
          <w:i/>
        </w:rPr>
        <w:t>delegatensis</w:t>
      </w:r>
      <w:proofErr w:type="spellEnd"/>
      <w:r w:rsidRPr="001743D6">
        <w:rPr>
          <w:rFonts w:ascii="Segoe UI" w:hAnsi="Segoe UI" w:cs="Segoe UI"/>
        </w:rPr>
        <w:t xml:space="preserve">, </w:t>
      </w:r>
      <w:r w:rsidRPr="001743D6">
        <w:rPr>
          <w:rFonts w:ascii="Segoe UI" w:hAnsi="Segoe UI" w:cs="Segoe UI"/>
          <w:i/>
        </w:rPr>
        <w:t>Acacia</w:t>
      </w:r>
      <w:r w:rsidRPr="001743D6">
        <w:rPr>
          <w:rFonts w:ascii="Segoe UI" w:hAnsi="Segoe UI" w:cs="Segoe UI"/>
        </w:rPr>
        <w:t xml:space="preserve"> spp.) </w:t>
      </w:r>
    </w:p>
    <w:p w:rsidR="001743D6" w:rsidRPr="001743D6" w:rsidRDefault="001743D6" w:rsidP="001743D6">
      <w:pPr>
        <w:jc w:val="both"/>
        <w:rPr>
          <w:rFonts w:ascii="Segoe UI" w:hAnsi="Segoe UI" w:cs="Segoe UI"/>
        </w:rPr>
      </w:pPr>
      <w:r w:rsidRPr="001743D6">
        <w:rPr>
          <w:rFonts w:ascii="Segoe UI" w:hAnsi="Segoe UI" w:cs="Segoe UI"/>
        </w:rPr>
        <w:t xml:space="preserve">Van der </w:t>
      </w:r>
      <w:proofErr w:type="spellStart"/>
      <w:r w:rsidRPr="001743D6">
        <w:rPr>
          <w:rFonts w:ascii="Segoe UI" w:hAnsi="Segoe UI" w:cs="Segoe UI"/>
        </w:rPr>
        <w:t>Ree</w:t>
      </w:r>
      <w:proofErr w:type="spellEnd"/>
      <w:r w:rsidRPr="001743D6">
        <w:rPr>
          <w:rFonts w:ascii="Segoe UI" w:hAnsi="Segoe UI" w:cs="Segoe UI"/>
        </w:rPr>
        <w:t xml:space="preserve"> et al. (2010) and Soanes et al. (2018) have conducted a long running investigation into the effects of fragmentation, due to a large highway, on the Squirrel Glider (</w:t>
      </w:r>
      <w:r w:rsidRPr="001743D6">
        <w:rPr>
          <w:rFonts w:ascii="Segoe UI" w:hAnsi="Segoe UI" w:cs="Segoe UI"/>
          <w:i/>
        </w:rPr>
        <w:t xml:space="preserve">Petaurus </w:t>
      </w:r>
      <w:proofErr w:type="spellStart"/>
      <w:r w:rsidRPr="001743D6">
        <w:rPr>
          <w:rFonts w:ascii="Segoe UI" w:hAnsi="Segoe UI" w:cs="Segoe UI"/>
          <w:i/>
        </w:rPr>
        <w:t>norfolcensis</w:t>
      </w:r>
      <w:proofErr w:type="spellEnd"/>
      <w:r w:rsidRPr="001743D6">
        <w:rPr>
          <w:rFonts w:ascii="Segoe UI" w:hAnsi="Segoe UI" w:cs="Segoe UI"/>
        </w:rPr>
        <w:t xml:space="preserve">). They have shown that large highways can impede isolated populations of the species from interbreeding, but a simple expedient of a rope bridge across the roadway enables individual gliders to cross and therefore allows genetic dispersal. </w:t>
      </w:r>
    </w:p>
    <w:p w:rsidR="001743D6" w:rsidRPr="001743D6" w:rsidRDefault="001743D6" w:rsidP="001743D6">
      <w:pPr>
        <w:jc w:val="both"/>
        <w:rPr>
          <w:rFonts w:ascii="Segoe UI" w:hAnsi="Segoe UI" w:cs="Segoe UI"/>
        </w:rPr>
      </w:pPr>
      <w:r w:rsidRPr="001743D6">
        <w:rPr>
          <w:rFonts w:ascii="Segoe UI" w:hAnsi="Segoe UI" w:cs="Segoe UI"/>
        </w:rPr>
        <w:t>While these studies show that there are forest-dependent species in Victoria at risk from loss of genetic diversity, there are programs in place to reduce or remove some of these problems, both through interbreeding with other populations, and enabling isolated populations to connect with the broader population. More study is required to gain a broader idea of the extent of loss of genetics due to fragmentation, over the forest estate of Victoria.</w:t>
      </w:r>
    </w:p>
    <w:p w:rsidR="001743D6" w:rsidRPr="001743D6" w:rsidRDefault="001743D6" w:rsidP="001743D6">
      <w:pPr>
        <w:spacing w:after="200" w:line="240" w:lineRule="auto"/>
        <w:rPr>
          <w:rFonts w:ascii="Segoe UI Semibold" w:eastAsia="Times New Roman" w:hAnsi="Segoe UI Semibold" w:cs="Times New Roman"/>
          <w:color w:val="016295"/>
        </w:rPr>
      </w:pPr>
      <w:bookmarkStart w:id="68" w:name="_Ref14777658"/>
      <w:bookmarkStart w:id="69" w:name="_Ref14777655"/>
      <w:bookmarkStart w:id="70" w:name="_Toc25660818"/>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35</w:t>
      </w:r>
      <w:r w:rsidRPr="001743D6">
        <w:rPr>
          <w:rFonts w:ascii="Segoe UI Semibold" w:eastAsia="Times New Roman" w:hAnsi="Segoe UI Semibold" w:cs="Times New Roman"/>
          <w:noProof/>
          <w:color w:val="016295"/>
        </w:rPr>
        <w:fldChar w:fldCharType="end"/>
      </w:r>
      <w:bookmarkEnd w:id="68"/>
      <w:r w:rsidRPr="001743D6">
        <w:rPr>
          <w:rFonts w:ascii="Segoe UI Semibold" w:eastAsia="Times New Roman" w:hAnsi="Segoe UI Semibold" w:cs="Times New Roman"/>
          <w:color w:val="016295"/>
        </w:rPr>
        <w:t>: Recent studies examining risk from isolation and the loss of genetic variation</w:t>
      </w:r>
      <w:bookmarkEnd w:id="69"/>
      <w:bookmarkEnd w:id="70"/>
    </w:p>
    <w:tbl>
      <w:tblPr>
        <w:tblStyle w:val="xTable2"/>
        <w:tblW w:w="9185" w:type="dxa"/>
        <w:tblLayout w:type="fixed"/>
        <w:tblCellMar>
          <w:top w:w="57" w:type="dxa"/>
          <w:bottom w:w="57" w:type="dxa"/>
        </w:tblCellMar>
        <w:tblLook w:val="04A0" w:firstRow="1" w:lastRow="0" w:firstColumn="1" w:lastColumn="0" w:noHBand="0" w:noVBand="1"/>
      </w:tblPr>
      <w:tblGrid>
        <w:gridCol w:w="1701"/>
        <w:gridCol w:w="1701"/>
        <w:gridCol w:w="5783"/>
      </w:tblGrid>
      <w:tr w:rsidR="001743D6" w:rsidRPr="001743D6" w:rsidTr="00D06F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hideMark/>
          </w:tcPr>
          <w:p w:rsidR="001743D6" w:rsidRPr="001743D6" w:rsidRDefault="001743D6" w:rsidP="001743D6">
            <w:pPr>
              <w:rPr>
                <w:rFonts w:ascii="Segoe UI" w:hAnsi="Segoe UI" w:cs="Segoe UI"/>
                <w:sz w:val="18"/>
                <w:szCs w:val="18"/>
              </w:rPr>
            </w:pPr>
            <w:r w:rsidRPr="001743D6">
              <w:rPr>
                <w:rFonts w:ascii="Segoe UI" w:hAnsi="Segoe UI" w:cs="Segoe UI"/>
              </w:rPr>
              <w:t>Species</w:t>
            </w:r>
          </w:p>
        </w:tc>
        <w:tc>
          <w:tcPr>
            <w:tcW w:w="1701"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1743D6">
              <w:rPr>
                <w:rFonts w:ascii="Segoe UI" w:hAnsi="Segoe UI" w:cs="Segoe UI"/>
              </w:rPr>
              <w:t>Common name</w:t>
            </w:r>
          </w:p>
        </w:tc>
        <w:tc>
          <w:tcPr>
            <w:tcW w:w="5783"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b/>
              </w:rPr>
            </w:pPr>
            <w:r w:rsidRPr="001743D6">
              <w:rPr>
                <w:rFonts w:ascii="Segoe UI" w:hAnsi="Segoe UI" w:cs="Segoe UI"/>
              </w:rPr>
              <w:t>Reference</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701" w:type="dxa"/>
            <w:hideMark/>
          </w:tcPr>
          <w:p w:rsidR="001743D6" w:rsidRPr="001743D6" w:rsidRDefault="001743D6" w:rsidP="001743D6">
            <w:pPr>
              <w:rPr>
                <w:rFonts w:ascii="Segoe UI" w:eastAsia="Calibri" w:hAnsi="Segoe UI" w:cs="Calibri"/>
                <w:szCs w:val="18"/>
                <w:lang w:eastAsia="en-AU"/>
              </w:rPr>
            </w:pPr>
            <w:r w:rsidRPr="001743D6">
              <w:rPr>
                <w:rFonts w:ascii="Segoe UI" w:eastAsia="Calibri" w:hAnsi="Segoe UI" w:cs="Calibri"/>
                <w:szCs w:val="19"/>
                <w:lang w:eastAsia="en-AU"/>
              </w:rPr>
              <w:t> </w:t>
            </w:r>
          </w:p>
        </w:tc>
        <w:tc>
          <w:tcPr>
            <w:tcW w:w="1701" w:type="dxa"/>
            <w:hideMark/>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8"/>
                <w:lang w:eastAsia="en-AU"/>
              </w:rPr>
            </w:pPr>
            <w:r w:rsidRPr="001743D6">
              <w:rPr>
                <w:rFonts w:ascii="Segoe UI" w:eastAsia="Calibri" w:hAnsi="Segoe UI" w:cs="Calibri"/>
                <w:szCs w:val="19"/>
                <w:lang w:eastAsia="en-AU"/>
              </w:rPr>
              <w:t>Various woodland birds </w:t>
            </w:r>
          </w:p>
        </w:tc>
        <w:tc>
          <w:tcPr>
            <w:tcW w:w="5783" w:type="dxa"/>
            <w:hideMark/>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8"/>
                <w:lang w:eastAsia="en-AU"/>
              </w:rPr>
            </w:pPr>
            <w:r w:rsidRPr="001743D6">
              <w:rPr>
                <w:rFonts w:ascii="Segoe UI" w:eastAsia="Calibri" w:hAnsi="Segoe UI" w:cs="Calibri"/>
                <w:szCs w:val="19"/>
                <w:lang w:eastAsia="en-AU"/>
              </w:rPr>
              <w:t xml:space="preserve">Amos, JN et al. 2014, ‘Species- and sex-specific connectivity effects of habitat fragmentation in a suite of woodland birds’, </w:t>
            </w:r>
            <w:r w:rsidRPr="001743D6">
              <w:rPr>
                <w:rFonts w:ascii="Segoe UI" w:eastAsia="Calibri" w:hAnsi="Segoe UI" w:cs="Calibri"/>
                <w:i/>
                <w:szCs w:val="19"/>
                <w:lang w:eastAsia="en-AU"/>
              </w:rPr>
              <w:t>Ecology</w:t>
            </w:r>
            <w:r w:rsidRPr="001743D6">
              <w:rPr>
                <w:rFonts w:ascii="Segoe UI" w:eastAsia="Calibri" w:hAnsi="Segoe UI" w:cs="Calibri"/>
                <w:szCs w:val="19"/>
                <w:lang w:eastAsia="en-AU"/>
              </w:rPr>
              <w:t>, vol. 95, no. 6, pp. 1556–68.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rsidR="001743D6" w:rsidRPr="001743D6" w:rsidRDefault="001743D6" w:rsidP="001743D6">
            <w:pPr>
              <w:rPr>
                <w:rFonts w:ascii="Segoe UI" w:eastAsia="Calibri" w:hAnsi="Segoe UI" w:cs="Calibri"/>
                <w:i/>
                <w:szCs w:val="19"/>
                <w:lang w:eastAsia="en-AU"/>
              </w:rPr>
            </w:pPr>
            <w:proofErr w:type="spellStart"/>
            <w:r w:rsidRPr="001743D6">
              <w:rPr>
                <w:rFonts w:ascii="Segoe UI" w:eastAsia="Calibri" w:hAnsi="Segoe UI" w:cs="Calibri"/>
                <w:i/>
                <w:szCs w:val="19"/>
                <w:lang w:eastAsia="en-AU"/>
              </w:rPr>
              <w:t>Gymnobelideus</w:t>
            </w:r>
            <w:proofErr w:type="spellEnd"/>
            <w:r w:rsidRPr="001743D6">
              <w:rPr>
                <w:rFonts w:ascii="Segoe UI" w:eastAsia="Calibri" w:hAnsi="Segoe UI" w:cs="Calibri"/>
                <w:i/>
                <w:szCs w:val="19"/>
                <w:lang w:eastAsia="en-AU"/>
              </w:rPr>
              <w:t xml:space="preserve"> </w:t>
            </w:r>
            <w:proofErr w:type="spellStart"/>
            <w:r w:rsidRPr="001743D6">
              <w:rPr>
                <w:rFonts w:ascii="Segoe UI" w:eastAsia="Calibri" w:hAnsi="Segoe UI" w:cs="Calibri"/>
                <w:i/>
                <w:szCs w:val="19"/>
                <w:lang w:eastAsia="en-AU"/>
              </w:rPr>
              <w:t>leadbeateri</w:t>
            </w:r>
            <w:proofErr w:type="spellEnd"/>
          </w:p>
        </w:tc>
        <w:tc>
          <w:tcPr>
            <w:tcW w:w="1701" w:type="dxa"/>
            <w:hideMark/>
          </w:tcPr>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8"/>
                <w:lang w:eastAsia="en-AU"/>
              </w:rPr>
            </w:pPr>
            <w:r w:rsidRPr="001743D6">
              <w:rPr>
                <w:rFonts w:ascii="Segoe UI" w:eastAsia="Calibri" w:hAnsi="Segoe UI" w:cs="Calibri"/>
                <w:szCs w:val="19"/>
                <w:lang w:eastAsia="en-AU"/>
              </w:rPr>
              <w:t>Leadbeater’s Possum (Yellingbo population) </w:t>
            </w:r>
          </w:p>
        </w:tc>
        <w:tc>
          <w:tcPr>
            <w:tcW w:w="5783" w:type="dxa"/>
            <w:hideMark/>
          </w:tcPr>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8"/>
                <w:lang w:eastAsia="en-AU"/>
              </w:rPr>
            </w:pPr>
            <w:r w:rsidRPr="001743D6">
              <w:rPr>
                <w:rFonts w:ascii="Segoe UI" w:eastAsia="Calibri" w:hAnsi="Segoe UI" w:cs="Calibri"/>
                <w:szCs w:val="19"/>
                <w:lang w:eastAsia="en-AU"/>
              </w:rPr>
              <w:t>Hansen, BD &amp; Taylor, AC 2008, ‘Isolated remnant or recent introduction? Estimating the provenance of Yellingbo Leadbeater’s possums by genetic analysis and bottleneck simulation’, </w:t>
            </w:r>
            <w:r w:rsidRPr="001743D6">
              <w:rPr>
                <w:rFonts w:ascii="Segoe UI" w:eastAsia="Calibri" w:hAnsi="Segoe UI" w:cs="Calibri"/>
                <w:i/>
                <w:szCs w:val="19"/>
                <w:lang w:eastAsia="en-AU"/>
              </w:rPr>
              <w:t>Molecular Ecology</w:t>
            </w:r>
            <w:r w:rsidRPr="001743D6">
              <w:rPr>
                <w:rFonts w:ascii="Segoe UI" w:eastAsia="Calibri" w:hAnsi="Segoe UI" w:cs="Calibri"/>
                <w:szCs w:val="19"/>
                <w:lang w:eastAsia="en-AU"/>
              </w:rPr>
              <w:t>, vol. 17, pp. 4039–52.</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rsidR="001743D6" w:rsidRPr="001743D6" w:rsidRDefault="001743D6" w:rsidP="001743D6">
            <w:pPr>
              <w:rPr>
                <w:rFonts w:ascii="Segoe UI" w:eastAsia="Calibri" w:hAnsi="Segoe UI" w:cs="Calibri"/>
                <w:i/>
                <w:szCs w:val="19"/>
                <w:lang w:eastAsia="en-AU"/>
              </w:rPr>
            </w:pPr>
            <w:proofErr w:type="spellStart"/>
            <w:r w:rsidRPr="001743D6">
              <w:rPr>
                <w:rFonts w:ascii="Segoe UI" w:eastAsia="Calibri" w:hAnsi="Segoe UI" w:cs="Calibri"/>
                <w:i/>
                <w:szCs w:val="19"/>
                <w:lang w:eastAsia="en-AU"/>
              </w:rPr>
              <w:t>Lichenostomus</w:t>
            </w:r>
            <w:proofErr w:type="spellEnd"/>
            <w:r w:rsidRPr="001743D6">
              <w:rPr>
                <w:rFonts w:ascii="Segoe UI" w:eastAsia="Calibri" w:hAnsi="Segoe UI" w:cs="Calibri"/>
                <w:i/>
                <w:szCs w:val="19"/>
                <w:lang w:eastAsia="en-AU"/>
              </w:rPr>
              <w:t xml:space="preserve"> </w:t>
            </w:r>
            <w:proofErr w:type="spellStart"/>
            <w:r w:rsidRPr="001743D6">
              <w:rPr>
                <w:rFonts w:ascii="Segoe UI" w:eastAsia="Calibri" w:hAnsi="Segoe UI" w:cs="Calibri"/>
                <w:i/>
                <w:szCs w:val="19"/>
                <w:lang w:eastAsia="en-AU"/>
              </w:rPr>
              <w:t>melanops</w:t>
            </w:r>
            <w:proofErr w:type="spellEnd"/>
            <w:r w:rsidRPr="001743D6">
              <w:rPr>
                <w:rFonts w:ascii="Segoe UI" w:eastAsia="Calibri" w:hAnsi="Segoe UI" w:cs="Calibri"/>
                <w:i/>
                <w:szCs w:val="19"/>
                <w:lang w:eastAsia="en-AU"/>
              </w:rPr>
              <w:t xml:space="preserve"> </w:t>
            </w:r>
            <w:proofErr w:type="spellStart"/>
            <w:r w:rsidRPr="001743D6">
              <w:rPr>
                <w:rFonts w:ascii="Segoe UI" w:eastAsia="Calibri" w:hAnsi="Segoe UI" w:cs="Calibri"/>
                <w:i/>
                <w:szCs w:val="19"/>
                <w:lang w:eastAsia="en-AU"/>
              </w:rPr>
              <w:t>cassidix</w:t>
            </w:r>
            <w:proofErr w:type="spellEnd"/>
            <w:r w:rsidRPr="001743D6">
              <w:rPr>
                <w:rFonts w:ascii="Segoe UI" w:eastAsia="Calibri" w:hAnsi="Segoe UI" w:cs="Calibri"/>
                <w:i/>
                <w:szCs w:val="19"/>
                <w:lang w:eastAsia="en-AU"/>
              </w:rPr>
              <w:t xml:space="preserve"> </w:t>
            </w:r>
          </w:p>
        </w:tc>
        <w:tc>
          <w:tcPr>
            <w:tcW w:w="1701" w:type="dxa"/>
            <w:hideMark/>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Helmeted Honeyeater </w:t>
            </w:r>
          </w:p>
        </w:tc>
        <w:tc>
          <w:tcPr>
            <w:tcW w:w="5783" w:type="dxa"/>
            <w:hideMark/>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 w:val="18"/>
                <w:szCs w:val="18"/>
                <w:lang w:eastAsia="en-AU"/>
              </w:rPr>
            </w:pPr>
            <w:proofErr w:type="spellStart"/>
            <w:r w:rsidRPr="001743D6">
              <w:rPr>
                <w:rFonts w:ascii="Segoe UI" w:eastAsia="Calibri" w:hAnsi="Segoe UI" w:cs="Calibri"/>
                <w:szCs w:val="19"/>
                <w:lang w:eastAsia="en-AU"/>
              </w:rPr>
              <w:t>Harrisson</w:t>
            </w:r>
            <w:proofErr w:type="spellEnd"/>
            <w:r w:rsidRPr="001743D6">
              <w:rPr>
                <w:rFonts w:ascii="Segoe UI" w:eastAsia="Calibri" w:hAnsi="Segoe UI" w:cs="Calibri"/>
                <w:szCs w:val="19"/>
                <w:lang w:eastAsia="en-AU"/>
              </w:rPr>
              <w:t xml:space="preserve">, KA et al. 2016, ‘Scope for genetic rescue of an endangered subspecies though re-establishing natural gene flow with another subspecies’, </w:t>
            </w:r>
            <w:r w:rsidRPr="001743D6">
              <w:rPr>
                <w:rFonts w:ascii="Segoe UI" w:eastAsia="Calibri" w:hAnsi="Segoe UI" w:cs="Calibri"/>
                <w:i/>
                <w:szCs w:val="19"/>
                <w:lang w:eastAsia="en-AU"/>
              </w:rPr>
              <w:t>Molecular Ecology</w:t>
            </w:r>
            <w:r w:rsidRPr="001743D6">
              <w:rPr>
                <w:rFonts w:ascii="Segoe UI" w:eastAsia="Calibri" w:hAnsi="Segoe UI" w:cs="Calibri"/>
                <w:szCs w:val="19"/>
                <w:lang w:eastAsia="en-AU"/>
              </w:rPr>
              <w:t>, vol. 25, no. 6, 1242–58.</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rsidR="001743D6" w:rsidRPr="001743D6" w:rsidRDefault="001743D6" w:rsidP="001743D6">
            <w:pPr>
              <w:rPr>
                <w:rFonts w:ascii="Segoe UI" w:eastAsia="Calibri" w:hAnsi="Segoe UI" w:cs="Calibri"/>
                <w:i/>
                <w:szCs w:val="19"/>
                <w:lang w:eastAsia="en-AU"/>
              </w:rPr>
            </w:pPr>
            <w:r w:rsidRPr="001743D6">
              <w:rPr>
                <w:rFonts w:ascii="Segoe UI" w:eastAsia="Calibri" w:hAnsi="Segoe UI" w:cs="Calibri"/>
                <w:i/>
                <w:szCs w:val="19"/>
                <w:lang w:eastAsia="en-AU"/>
              </w:rPr>
              <w:t xml:space="preserve">Petaurus </w:t>
            </w:r>
            <w:proofErr w:type="spellStart"/>
            <w:r w:rsidRPr="001743D6">
              <w:rPr>
                <w:rFonts w:ascii="Segoe UI" w:eastAsia="Calibri" w:hAnsi="Segoe UI" w:cs="Calibri"/>
                <w:i/>
                <w:szCs w:val="19"/>
                <w:lang w:eastAsia="en-AU"/>
              </w:rPr>
              <w:t>norfolcensis</w:t>
            </w:r>
            <w:proofErr w:type="spellEnd"/>
          </w:p>
        </w:tc>
        <w:tc>
          <w:tcPr>
            <w:tcW w:w="1701" w:type="dxa"/>
            <w:hideMark/>
          </w:tcPr>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8"/>
                <w:lang w:eastAsia="en-AU"/>
              </w:rPr>
            </w:pPr>
            <w:r w:rsidRPr="001743D6">
              <w:rPr>
                <w:rFonts w:ascii="Segoe UI" w:eastAsia="Calibri" w:hAnsi="Segoe UI" w:cs="Calibri"/>
                <w:szCs w:val="19"/>
                <w:lang w:eastAsia="en-AU"/>
              </w:rPr>
              <w:t>Squirrel Glider </w:t>
            </w:r>
          </w:p>
        </w:tc>
        <w:tc>
          <w:tcPr>
            <w:tcW w:w="5783" w:type="dxa"/>
            <w:hideMark/>
          </w:tcPr>
          <w:p w:rsidR="001743D6" w:rsidRPr="001743D6" w:rsidRDefault="001743D6" w:rsidP="001743D6">
            <w:pPr>
              <w:spacing w:after="240"/>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 w:val="18"/>
                <w:szCs w:val="18"/>
                <w:lang w:eastAsia="en-AU"/>
              </w:rPr>
            </w:pPr>
            <w:r w:rsidRPr="001743D6">
              <w:rPr>
                <w:rFonts w:ascii="Segoe UI" w:eastAsia="Calibri" w:hAnsi="Segoe UI" w:cs="Calibri"/>
                <w:szCs w:val="19"/>
                <w:lang w:eastAsia="en-AU"/>
              </w:rPr>
              <w:t>Van der </w:t>
            </w:r>
            <w:proofErr w:type="spellStart"/>
            <w:r w:rsidRPr="001743D6">
              <w:rPr>
                <w:rFonts w:ascii="Segoe UI" w:eastAsia="Calibri" w:hAnsi="Segoe UI" w:cs="Calibri"/>
                <w:szCs w:val="19"/>
                <w:lang w:eastAsia="en-AU"/>
              </w:rPr>
              <w:t>Ree</w:t>
            </w:r>
            <w:proofErr w:type="spellEnd"/>
            <w:r w:rsidRPr="001743D6">
              <w:rPr>
                <w:rFonts w:ascii="Segoe UI" w:eastAsia="Calibri" w:hAnsi="Segoe UI" w:cs="Calibri"/>
                <w:szCs w:val="19"/>
                <w:lang w:eastAsia="en-AU"/>
              </w:rPr>
              <w:t xml:space="preserve">, R, </w:t>
            </w:r>
            <w:proofErr w:type="spellStart"/>
            <w:r w:rsidRPr="001743D6">
              <w:rPr>
                <w:rFonts w:ascii="Segoe UI" w:eastAsia="Calibri" w:hAnsi="Segoe UI" w:cs="Calibri"/>
                <w:szCs w:val="19"/>
                <w:lang w:eastAsia="en-AU"/>
              </w:rPr>
              <w:t>Cesarini</w:t>
            </w:r>
            <w:proofErr w:type="spellEnd"/>
            <w:r w:rsidRPr="001743D6">
              <w:rPr>
                <w:rFonts w:ascii="Segoe UI" w:eastAsia="Calibri" w:hAnsi="Segoe UI" w:cs="Calibri"/>
                <w:szCs w:val="19"/>
                <w:lang w:eastAsia="en-AU"/>
              </w:rPr>
              <w:t xml:space="preserve">, S, Sunnucks, P, Moore, JL &amp; Taylor, A 2010, ‘Large gaps in canopy reduce road crossing by a gliding mammal’, </w:t>
            </w:r>
            <w:r w:rsidRPr="001743D6">
              <w:rPr>
                <w:rFonts w:ascii="Segoe UI" w:eastAsia="Calibri" w:hAnsi="Segoe UI" w:cs="Calibri"/>
                <w:i/>
                <w:szCs w:val="19"/>
                <w:lang w:eastAsia="en-AU"/>
              </w:rPr>
              <w:t>Ecology and Society</w:t>
            </w:r>
            <w:r w:rsidRPr="001743D6">
              <w:rPr>
                <w:rFonts w:ascii="Segoe UI" w:eastAsia="Calibri" w:hAnsi="Segoe UI" w:cs="Calibri"/>
                <w:szCs w:val="19"/>
                <w:lang w:eastAsia="en-AU"/>
              </w:rPr>
              <w:t>, vol. 15, no. 4: 35. </w:t>
            </w:r>
          </w:p>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 w:val="18"/>
                <w:szCs w:val="18"/>
                <w:lang w:eastAsia="en-AU"/>
              </w:rPr>
            </w:pPr>
            <w:r w:rsidRPr="001743D6">
              <w:rPr>
                <w:rFonts w:ascii="Segoe UI" w:eastAsia="Calibri" w:hAnsi="Segoe UI" w:cs="Calibri"/>
                <w:szCs w:val="19"/>
                <w:lang w:eastAsia="en-AU"/>
              </w:rPr>
              <w:t xml:space="preserve">Soanes, K, Taylor, AC, Sunnucks, P, </w:t>
            </w:r>
            <w:proofErr w:type="spellStart"/>
            <w:r w:rsidRPr="001743D6">
              <w:rPr>
                <w:rFonts w:ascii="Segoe UI" w:eastAsia="Calibri" w:hAnsi="Segoe UI" w:cs="Calibri"/>
                <w:szCs w:val="19"/>
                <w:lang w:eastAsia="en-AU"/>
              </w:rPr>
              <w:t>Vesk</w:t>
            </w:r>
            <w:proofErr w:type="spellEnd"/>
            <w:r w:rsidRPr="001743D6">
              <w:rPr>
                <w:rFonts w:ascii="Segoe UI" w:eastAsia="Calibri" w:hAnsi="Segoe UI" w:cs="Calibri"/>
                <w:szCs w:val="19"/>
                <w:lang w:eastAsia="en-AU"/>
              </w:rPr>
              <w:t xml:space="preserve">, PA, </w:t>
            </w:r>
            <w:proofErr w:type="spellStart"/>
            <w:r w:rsidRPr="001743D6">
              <w:rPr>
                <w:rFonts w:ascii="Segoe UI" w:eastAsia="Calibri" w:hAnsi="Segoe UI" w:cs="Calibri"/>
                <w:szCs w:val="19"/>
                <w:lang w:eastAsia="en-AU"/>
              </w:rPr>
              <w:t>Cesarini</w:t>
            </w:r>
            <w:proofErr w:type="spellEnd"/>
            <w:r w:rsidRPr="001743D6">
              <w:rPr>
                <w:rFonts w:ascii="Segoe UI" w:eastAsia="Calibri" w:hAnsi="Segoe UI" w:cs="Calibri"/>
                <w:szCs w:val="19"/>
                <w:lang w:eastAsia="en-AU"/>
              </w:rPr>
              <w:t xml:space="preserve">, S, van der </w:t>
            </w:r>
            <w:proofErr w:type="spellStart"/>
            <w:r w:rsidRPr="001743D6">
              <w:rPr>
                <w:rFonts w:ascii="Segoe UI" w:eastAsia="Calibri" w:hAnsi="Segoe UI" w:cs="Calibri"/>
                <w:szCs w:val="19"/>
                <w:lang w:eastAsia="en-AU"/>
              </w:rPr>
              <w:t>Ree</w:t>
            </w:r>
            <w:proofErr w:type="spellEnd"/>
            <w:r w:rsidRPr="001743D6">
              <w:rPr>
                <w:rFonts w:ascii="Segoe UI" w:eastAsia="Calibri" w:hAnsi="Segoe UI" w:cs="Calibri"/>
                <w:szCs w:val="19"/>
                <w:lang w:eastAsia="en-AU"/>
              </w:rPr>
              <w:t xml:space="preserve">, R 2018, ‘Evaluating the success of wildlife crossing structures using genetic approaches and an experimental design: lessons from a gliding mammal’, </w:t>
            </w:r>
            <w:r w:rsidRPr="001743D6">
              <w:rPr>
                <w:rFonts w:ascii="Segoe UI" w:eastAsia="Calibri" w:hAnsi="Segoe UI" w:cs="Calibri"/>
                <w:i/>
                <w:szCs w:val="19"/>
                <w:lang w:eastAsia="en-AU"/>
              </w:rPr>
              <w:t>J Appl Ecol.,</w:t>
            </w:r>
            <w:r w:rsidRPr="001743D6">
              <w:rPr>
                <w:rFonts w:ascii="Segoe UI" w:eastAsia="Calibri" w:hAnsi="Segoe UI" w:cs="Calibri"/>
                <w:szCs w:val="19"/>
                <w:lang w:eastAsia="en-AU"/>
              </w:rPr>
              <w:t xml:space="preserve"> vol. 55, no. 1, pp. 129–38. </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rsidR="001743D6" w:rsidRPr="001743D6" w:rsidRDefault="001743D6" w:rsidP="001743D6">
            <w:pPr>
              <w:rPr>
                <w:rFonts w:ascii="Segoe UI" w:eastAsia="Calibri" w:hAnsi="Segoe UI" w:cs="Calibri"/>
                <w:i/>
                <w:szCs w:val="19"/>
                <w:lang w:eastAsia="en-AU"/>
              </w:rPr>
            </w:pPr>
            <w:r w:rsidRPr="001743D6">
              <w:rPr>
                <w:rFonts w:ascii="Segoe UI" w:eastAsia="Calibri" w:hAnsi="Segoe UI" w:cs="Calibri"/>
                <w:i/>
                <w:szCs w:val="19"/>
                <w:lang w:eastAsia="en-AU"/>
              </w:rPr>
              <w:t xml:space="preserve">Burramys </w:t>
            </w:r>
            <w:proofErr w:type="spellStart"/>
            <w:r w:rsidRPr="001743D6">
              <w:rPr>
                <w:rFonts w:ascii="Segoe UI" w:eastAsia="Calibri" w:hAnsi="Segoe UI" w:cs="Calibri"/>
                <w:i/>
                <w:szCs w:val="19"/>
                <w:lang w:eastAsia="en-AU"/>
              </w:rPr>
              <w:t>parvus</w:t>
            </w:r>
            <w:proofErr w:type="spellEnd"/>
          </w:p>
        </w:tc>
        <w:tc>
          <w:tcPr>
            <w:tcW w:w="1701" w:type="dxa"/>
            <w:hideMark/>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8"/>
                <w:lang w:eastAsia="en-AU"/>
              </w:rPr>
            </w:pPr>
            <w:r w:rsidRPr="001743D6">
              <w:rPr>
                <w:rFonts w:ascii="Segoe UI" w:eastAsia="Calibri" w:hAnsi="Segoe UI" w:cs="Calibri"/>
                <w:szCs w:val="19"/>
                <w:lang w:eastAsia="en-AU"/>
              </w:rPr>
              <w:t>Mountain Pygmy-possum </w:t>
            </w:r>
          </w:p>
        </w:tc>
        <w:tc>
          <w:tcPr>
            <w:tcW w:w="5783" w:type="dxa"/>
            <w:hideMark/>
          </w:tcPr>
          <w:p w:rsidR="001743D6" w:rsidRPr="001743D6" w:rsidRDefault="001743D6" w:rsidP="001743D6">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 w:val="18"/>
                <w:szCs w:val="18"/>
                <w:lang w:eastAsia="en-AU"/>
              </w:rPr>
            </w:pPr>
            <w:r w:rsidRPr="001743D6">
              <w:rPr>
                <w:rFonts w:ascii="Segoe UI" w:eastAsia="Calibri" w:hAnsi="Segoe UI" w:cs="Calibri"/>
                <w:szCs w:val="19"/>
                <w:lang w:eastAsia="en-AU"/>
              </w:rPr>
              <w:t xml:space="preserve">Weeks, AR et al. 2017, ‘Genetic rescue increases fitness and aids rapid recovery of an endangered marsupial population’, </w:t>
            </w:r>
            <w:r w:rsidRPr="001743D6">
              <w:rPr>
                <w:rFonts w:ascii="Segoe UI" w:eastAsia="Calibri" w:hAnsi="Segoe UI" w:cs="Calibri"/>
                <w:i/>
                <w:szCs w:val="19"/>
                <w:lang w:eastAsia="en-AU"/>
              </w:rPr>
              <w:t>Nature Communications</w:t>
            </w:r>
            <w:r w:rsidRPr="001743D6">
              <w:rPr>
                <w:rFonts w:ascii="Segoe UI" w:eastAsia="Calibri" w:hAnsi="Segoe UI" w:cs="Calibri"/>
                <w:szCs w:val="19"/>
                <w:lang w:eastAsia="en-AU"/>
              </w:rPr>
              <w:t>, vol. 8: 1071. </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rsidR="001743D6" w:rsidRPr="001743D6" w:rsidRDefault="001743D6" w:rsidP="001743D6">
            <w:pPr>
              <w:spacing w:before="60" w:after="60" w:line="220" w:lineRule="atLeast"/>
              <w:ind w:right="113"/>
              <w:rPr>
                <w:rFonts w:ascii="Segoe UI" w:eastAsia="Times New Roman" w:hAnsi="Segoe UI" w:cs="Arial"/>
                <w:sz w:val="18"/>
                <w:szCs w:val="18"/>
                <w:lang w:eastAsia="en-AU"/>
              </w:rPr>
            </w:pPr>
          </w:p>
        </w:tc>
        <w:tc>
          <w:tcPr>
            <w:tcW w:w="1701" w:type="dxa"/>
            <w:hideMark/>
          </w:tcPr>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8"/>
                <w:lang w:eastAsia="en-AU"/>
              </w:rPr>
            </w:pPr>
            <w:r w:rsidRPr="001743D6">
              <w:rPr>
                <w:rFonts w:ascii="Segoe UI" w:eastAsia="Calibri" w:hAnsi="Segoe UI" w:cs="Calibri"/>
                <w:szCs w:val="19"/>
                <w:lang w:eastAsia="en-AU"/>
              </w:rPr>
              <w:t>Endangered endemic mammals </w:t>
            </w:r>
          </w:p>
        </w:tc>
        <w:tc>
          <w:tcPr>
            <w:tcW w:w="5783" w:type="dxa"/>
            <w:hideMark/>
          </w:tcPr>
          <w:p w:rsidR="001743D6" w:rsidRPr="001743D6" w:rsidRDefault="001743D6" w:rsidP="001743D6">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 w:val="18"/>
                <w:szCs w:val="18"/>
                <w:lang w:eastAsia="en-AU"/>
              </w:rPr>
            </w:pPr>
            <w:r w:rsidRPr="001743D6">
              <w:rPr>
                <w:rFonts w:ascii="Segoe UI" w:eastAsia="Calibri" w:hAnsi="Segoe UI" w:cs="Calibri"/>
                <w:szCs w:val="19"/>
                <w:lang w:eastAsia="en-AU"/>
              </w:rPr>
              <w:t xml:space="preserve">Weeks, AR, </w:t>
            </w:r>
            <w:proofErr w:type="spellStart"/>
            <w:r w:rsidRPr="001743D6">
              <w:rPr>
                <w:rFonts w:ascii="Segoe UI" w:eastAsia="Calibri" w:hAnsi="Segoe UI" w:cs="Calibri"/>
                <w:szCs w:val="19"/>
                <w:lang w:eastAsia="en-AU"/>
              </w:rPr>
              <w:t>Stoklosa</w:t>
            </w:r>
            <w:proofErr w:type="spellEnd"/>
            <w:r w:rsidRPr="001743D6">
              <w:rPr>
                <w:rFonts w:ascii="Segoe UI" w:eastAsia="Calibri" w:hAnsi="Segoe UI" w:cs="Calibri"/>
                <w:szCs w:val="19"/>
                <w:lang w:eastAsia="en-AU"/>
              </w:rPr>
              <w:t>, J &amp; Hoffmann, AA 2016, ‘Conservation of genetic uniqueness of populations may increase extinction likelihood of endangered species: the case of Australian mammals’, </w:t>
            </w:r>
            <w:r w:rsidRPr="001743D6">
              <w:rPr>
                <w:rFonts w:ascii="Segoe UI" w:eastAsia="Calibri" w:hAnsi="Segoe UI" w:cs="Calibri"/>
                <w:i/>
                <w:iCs/>
                <w:szCs w:val="19"/>
                <w:shd w:val="clear" w:color="auto" w:fill="FFFFFF"/>
                <w:lang w:eastAsia="en-AU"/>
              </w:rPr>
              <w:t>Frontiers in Zoology</w:t>
            </w:r>
            <w:r w:rsidRPr="001743D6">
              <w:rPr>
                <w:rFonts w:ascii="Segoe UI" w:eastAsia="Calibri" w:hAnsi="Segoe UI" w:cs="Calibri"/>
                <w:szCs w:val="19"/>
                <w:shd w:val="clear" w:color="auto" w:fill="FFFFFF"/>
                <w:lang w:eastAsia="en-AU"/>
              </w:rPr>
              <w:t>, vol. 13:31.</w:t>
            </w:r>
            <w:r w:rsidRPr="001743D6">
              <w:rPr>
                <w:rFonts w:ascii="Segoe UI" w:eastAsia="Calibri" w:hAnsi="Segoe UI" w:cs="Calibri"/>
                <w:szCs w:val="19"/>
                <w:lang w:eastAsia="en-AU"/>
              </w:rPr>
              <w:t> </w:t>
            </w:r>
          </w:p>
        </w:tc>
      </w:tr>
    </w:tbl>
    <w:p w:rsidR="001743D6" w:rsidRPr="001743D6" w:rsidRDefault="001743D6" w:rsidP="001743D6">
      <w:pPr>
        <w:rPr>
          <w:rFonts w:ascii="Segoe UI" w:hAnsi="Segoe UI" w:cs="Segoe UI"/>
        </w:rPr>
      </w:pPr>
    </w:p>
    <w:p w:rsidR="001743D6" w:rsidRPr="001743D6" w:rsidRDefault="001743D6" w:rsidP="001743D6">
      <w:pPr>
        <w:keepNext/>
        <w:spacing w:before="120" w:after="120" w:line="240" w:lineRule="auto"/>
        <w:jc w:val="both"/>
        <w:outlineLvl w:val="3"/>
        <w:rPr>
          <w:rFonts w:ascii="Segoe UI" w:hAnsi="Segoe UI" w:cs="Segoe UI"/>
          <w:i/>
          <w:sz w:val="24"/>
          <w:szCs w:val="24"/>
        </w:rPr>
      </w:pPr>
      <w:r w:rsidRPr="001743D6">
        <w:rPr>
          <w:rFonts w:ascii="Segoe UI" w:hAnsi="Segoe UI" w:cs="Segoe UI"/>
          <w:i/>
          <w:sz w:val="24"/>
          <w:szCs w:val="24"/>
        </w:rPr>
        <w:t>Conservation efforts supporting vulnerable species</w:t>
      </w:r>
    </w:p>
    <w:p w:rsidR="001743D6" w:rsidRPr="001743D6" w:rsidRDefault="001743D6" w:rsidP="001743D6">
      <w:pPr>
        <w:jc w:val="both"/>
        <w:rPr>
          <w:rFonts w:ascii="Segoe UI" w:hAnsi="Segoe UI" w:cs="Segoe UI"/>
        </w:rPr>
      </w:pPr>
      <w:r w:rsidRPr="001743D6">
        <w:rPr>
          <w:rFonts w:ascii="Segoe UI" w:hAnsi="Segoe UI" w:cs="Segoe UI"/>
        </w:rPr>
        <w:t xml:space="preserve">DELWP undertakes numerous management actions to promote the conservation of species. </w:t>
      </w:r>
      <w:r w:rsidRPr="001743D6">
        <w:rPr>
          <w:rFonts w:ascii="Segoe UI" w:hAnsi="Segoe UI" w:cs="Segoe UI"/>
          <w:b/>
        </w:rPr>
        <w:fldChar w:fldCharType="begin"/>
      </w:r>
      <w:r w:rsidRPr="001743D6">
        <w:rPr>
          <w:rFonts w:ascii="Segoe UI" w:hAnsi="Segoe UI" w:cs="Segoe UI"/>
          <w:b/>
        </w:rPr>
        <w:instrText xml:space="preserve"> REF _Ref14285052 \h  \* MERGEFORMAT </w:instrText>
      </w:r>
      <w:r w:rsidRPr="001743D6">
        <w:rPr>
          <w:rFonts w:ascii="Segoe UI" w:hAnsi="Segoe UI" w:cs="Segoe UI"/>
          <w:b/>
        </w:rPr>
      </w:r>
      <w:r w:rsidRPr="001743D6">
        <w:rPr>
          <w:rFonts w:ascii="Segoe UI" w:hAnsi="Segoe UI" w:cs="Segoe UI"/>
          <w:b/>
        </w:rPr>
        <w:fldChar w:fldCharType="separate"/>
      </w:r>
      <w:r w:rsidRPr="001743D6">
        <w:rPr>
          <w:rFonts w:ascii="Segoe UI" w:hAnsi="Segoe UI" w:cs="Segoe UI"/>
        </w:rPr>
        <w:t>Table 36</w:t>
      </w:r>
      <w:r w:rsidRPr="001743D6">
        <w:rPr>
          <w:rFonts w:ascii="Segoe UI" w:hAnsi="Segoe UI" w:cs="Segoe UI"/>
          <w:b/>
        </w:rPr>
        <w:fldChar w:fldCharType="end"/>
      </w:r>
      <w:r w:rsidRPr="001743D6">
        <w:rPr>
          <w:rFonts w:ascii="Segoe UI" w:hAnsi="Segoe UI" w:cs="Segoe UI"/>
          <w:b/>
        </w:rPr>
        <w:t xml:space="preserve"> </w:t>
      </w:r>
      <w:r w:rsidRPr="001743D6">
        <w:rPr>
          <w:rFonts w:ascii="Segoe UI" w:hAnsi="Segoe UI" w:cs="Segoe UI"/>
        </w:rPr>
        <w:t>shows the level of management activity for each forest-dependent threatened species for eight action categories, as provided by DELWP’s regional implementation teams. The categories are:</w:t>
      </w:r>
    </w:p>
    <w:p w:rsidR="001743D6" w:rsidRPr="003E70FC" w:rsidRDefault="001743D6" w:rsidP="003E70FC">
      <w:pPr>
        <w:pStyle w:val="ListParagraph"/>
        <w:numPr>
          <w:ilvl w:val="0"/>
          <w:numId w:val="49"/>
        </w:numPr>
      </w:pPr>
      <w:r w:rsidRPr="003E70FC">
        <w:t>community engagement;</w:t>
      </w:r>
    </w:p>
    <w:p w:rsidR="001743D6" w:rsidRPr="003E70FC" w:rsidRDefault="001743D6" w:rsidP="003E70FC">
      <w:pPr>
        <w:pStyle w:val="ListParagraph"/>
        <w:numPr>
          <w:ilvl w:val="0"/>
          <w:numId w:val="49"/>
        </w:numPr>
      </w:pPr>
      <w:r w:rsidRPr="003E70FC">
        <w:t>policy and planning;</w:t>
      </w:r>
    </w:p>
    <w:p w:rsidR="001743D6" w:rsidRPr="003E70FC" w:rsidRDefault="001743D6" w:rsidP="003E70FC">
      <w:pPr>
        <w:pStyle w:val="ListParagraph"/>
        <w:numPr>
          <w:ilvl w:val="0"/>
          <w:numId w:val="49"/>
        </w:numPr>
      </w:pPr>
      <w:r w:rsidRPr="003E70FC">
        <w:t>survey and monitoring;</w:t>
      </w:r>
    </w:p>
    <w:p w:rsidR="001743D6" w:rsidRPr="003E70FC" w:rsidRDefault="001743D6" w:rsidP="003E70FC">
      <w:pPr>
        <w:pStyle w:val="ListParagraph"/>
        <w:numPr>
          <w:ilvl w:val="0"/>
          <w:numId w:val="49"/>
        </w:numPr>
      </w:pPr>
      <w:r w:rsidRPr="003E70FC">
        <w:t>habitat protection and restoration;</w:t>
      </w:r>
    </w:p>
    <w:p w:rsidR="001743D6" w:rsidRPr="003E70FC" w:rsidRDefault="001743D6" w:rsidP="003E70FC">
      <w:pPr>
        <w:pStyle w:val="ListParagraph"/>
        <w:numPr>
          <w:ilvl w:val="0"/>
          <w:numId w:val="49"/>
        </w:numPr>
      </w:pPr>
      <w:r w:rsidRPr="003E70FC">
        <w:t>pest and weed control;</w:t>
      </w:r>
    </w:p>
    <w:p w:rsidR="001743D6" w:rsidRPr="003E70FC" w:rsidRDefault="001743D6" w:rsidP="003E70FC">
      <w:pPr>
        <w:pStyle w:val="ListParagraph"/>
        <w:numPr>
          <w:ilvl w:val="0"/>
          <w:numId w:val="49"/>
        </w:numPr>
      </w:pPr>
      <w:r w:rsidRPr="003E70FC">
        <w:t xml:space="preserve">population manipulation; </w:t>
      </w:r>
    </w:p>
    <w:p w:rsidR="001743D6" w:rsidRPr="003E70FC" w:rsidRDefault="001743D6" w:rsidP="003E70FC">
      <w:pPr>
        <w:pStyle w:val="ListParagraph"/>
        <w:numPr>
          <w:ilvl w:val="0"/>
          <w:numId w:val="49"/>
        </w:numPr>
      </w:pPr>
      <w:r w:rsidRPr="003E70FC">
        <w:t>captive management; and</w:t>
      </w:r>
    </w:p>
    <w:p w:rsidR="001743D6" w:rsidRPr="003E70FC" w:rsidRDefault="001743D6" w:rsidP="003E70FC">
      <w:pPr>
        <w:pStyle w:val="ListParagraph"/>
        <w:numPr>
          <w:ilvl w:val="0"/>
          <w:numId w:val="49"/>
        </w:numPr>
      </w:pPr>
      <w:r w:rsidRPr="003E70FC">
        <w:t>research.</w:t>
      </w:r>
    </w:p>
    <w:p w:rsidR="001743D6" w:rsidRPr="001743D6" w:rsidRDefault="001743D6" w:rsidP="001743D6">
      <w:pPr>
        <w:jc w:val="both"/>
        <w:rPr>
          <w:rFonts w:ascii="Segoe UI" w:hAnsi="Segoe UI" w:cs="Segoe UI"/>
        </w:rPr>
      </w:pPr>
      <w:r w:rsidRPr="001743D6">
        <w:rPr>
          <w:rFonts w:ascii="Segoe UI" w:hAnsi="Segoe UI" w:cs="Segoe UI"/>
        </w:rPr>
        <w:t xml:space="preserve">All efforts were made to populate this table as comprehensively as possible; however, it should be viewed as a non-exhaustive list. Indeed, the categories of ‘survey and monitoring’ and ‘research’ may be underrepresented as initiatives from other research institutions or land management agencies implement may not have been captured. </w:t>
      </w:r>
    </w:p>
    <w:p w:rsidR="001743D6" w:rsidRPr="001743D6" w:rsidRDefault="001743D6" w:rsidP="001743D6">
      <w:pPr>
        <w:spacing w:before="180" w:after="180" w:line="240" w:lineRule="exact"/>
        <w:rPr>
          <w:rFonts w:ascii="Segoe UI Semibold" w:eastAsia="Times New Roman" w:hAnsi="Segoe UI Semibold" w:cs="Times New Roman"/>
          <w:color w:val="016295"/>
        </w:rPr>
      </w:pPr>
      <w:bookmarkStart w:id="71" w:name="_Ref14285052"/>
      <w:bookmarkStart w:id="72" w:name="_Toc25660819"/>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36</w:t>
      </w:r>
      <w:r w:rsidRPr="001743D6">
        <w:rPr>
          <w:rFonts w:ascii="Segoe UI Semibold" w:eastAsia="Times New Roman" w:hAnsi="Segoe UI Semibold" w:cs="Times New Roman"/>
          <w:noProof/>
          <w:color w:val="016295"/>
        </w:rPr>
        <w:fldChar w:fldCharType="end"/>
      </w:r>
      <w:bookmarkEnd w:id="71"/>
      <w:r w:rsidRPr="001743D6">
        <w:rPr>
          <w:rFonts w:ascii="Segoe UI Semibold" w:eastAsia="Times New Roman" w:hAnsi="Segoe UI Semibold" w:cs="Times New Roman"/>
          <w:color w:val="016295"/>
        </w:rPr>
        <w:t>: Management activity for each forest-dependent threatened species, 2013–17</w:t>
      </w:r>
      <w:bookmarkEnd w:id="72"/>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746"/>
        <w:gridCol w:w="797"/>
        <w:gridCol w:w="803"/>
        <w:gridCol w:w="797"/>
        <w:gridCol w:w="803"/>
        <w:gridCol w:w="799"/>
        <w:gridCol w:w="803"/>
        <w:gridCol w:w="799"/>
        <w:gridCol w:w="775"/>
        <w:gridCol w:w="22"/>
      </w:tblGrid>
      <w:tr w:rsidR="001743D6" w:rsidRPr="001743D6" w:rsidTr="00D06FDE">
        <w:trPr>
          <w:gridAfter w:val="1"/>
          <w:wAfter w:w="11" w:type="pct"/>
          <w:cantSplit/>
          <w:trHeight w:val="1587"/>
          <w:tblHeader/>
        </w:trPr>
        <w:tc>
          <w:tcPr>
            <w:tcW w:w="1501" w:type="pct"/>
            <w:shd w:val="clear" w:color="000000" w:fill="B6DDE8"/>
            <w:tcMar>
              <w:top w:w="57" w:type="dxa"/>
              <w:left w:w="57" w:type="dxa"/>
              <w:bottom w:w="57" w:type="dxa"/>
              <w:right w:w="57" w:type="dxa"/>
            </w:tcMar>
            <w:vAlign w:val="center"/>
            <w:hideMark/>
          </w:tcPr>
          <w:p w:rsidR="001743D6" w:rsidRPr="001743D6" w:rsidRDefault="001743D6" w:rsidP="001743D6">
            <w:pPr>
              <w:spacing w:after="0"/>
              <w:rPr>
                <w:rFonts w:ascii="Segoe UI" w:hAnsi="Segoe UI" w:cs="Segoe UI"/>
                <w:b/>
                <w:bCs/>
                <w:sz w:val="19"/>
                <w:szCs w:val="19"/>
                <w:lang w:eastAsia="en-AU"/>
              </w:rPr>
            </w:pPr>
            <w:r w:rsidRPr="001743D6">
              <w:rPr>
                <w:rFonts w:ascii="Segoe UI" w:hAnsi="Segoe UI" w:cs="Segoe UI"/>
                <w:b/>
                <w:bCs/>
                <w:sz w:val="19"/>
                <w:szCs w:val="19"/>
                <w:lang w:eastAsia="en-AU"/>
              </w:rPr>
              <w:t>Common name</w:t>
            </w:r>
          </w:p>
        </w:tc>
        <w:tc>
          <w:tcPr>
            <w:tcW w:w="436"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Community engagement</w:t>
            </w:r>
          </w:p>
        </w:tc>
        <w:tc>
          <w:tcPr>
            <w:tcW w:w="439"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Policy and planning</w:t>
            </w:r>
          </w:p>
        </w:tc>
        <w:tc>
          <w:tcPr>
            <w:tcW w:w="436"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Survey and monitoring</w:t>
            </w:r>
          </w:p>
        </w:tc>
        <w:tc>
          <w:tcPr>
            <w:tcW w:w="439"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Habitat protection and restoration</w:t>
            </w:r>
          </w:p>
        </w:tc>
        <w:tc>
          <w:tcPr>
            <w:tcW w:w="437"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Pest and weed control</w:t>
            </w:r>
          </w:p>
        </w:tc>
        <w:tc>
          <w:tcPr>
            <w:tcW w:w="439"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Population manipulation</w:t>
            </w:r>
          </w:p>
        </w:tc>
        <w:tc>
          <w:tcPr>
            <w:tcW w:w="437"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Captive management</w:t>
            </w:r>
          </w:p>
        </w:tc>
        <w:tc>
          <w:tcPr>
            <w:tcW w:w="424" w:type="pct"/>
            <w:shd w:val="clear" w:color="000000" w:fill="B6DDE8"/>
            <w:tcMar>
              <w:top w:w="57" w:type="dxa"/>
              <w:left w:w="0" w:type="dxa"/>
              <w:bottom w:w="0" w:type="dxa"/>
              <w:right w:w="57" w:type="dxa"/>
            </w:tcMar>
            <w:textDirection w:val="btLr"/>
            <w:vAlign w:val="center"/>
            <w:hideMark/>
          </w:tcPr>
          <w:p w:rsidR="001743D6" w:rsidRPr="001743D6" w:rsidRDefault="001743D6" w:rsidP="001743D6">
            <w:pPr>
              <w:spacing w:after="0" w:line="200" w:lineRule="exact"/>
              <w:ind w:left="113" w:right="113"/>
              <w:rPr>
                <w:rFonts w:ascii="Segoe UI" w:hAnsi="Segoe UI" w:cs="Segoe UI"/>
                <w:b/>
                <w:bCs/>
                <w:sz w:val="19"/>
                <w:szCs w:val="19"/>
                <w:lang w:eastAsia="en-AU"/>
              </w:rPr>
            </w:pPr>
            <w:r w:rsidRPr="001743D6">
              <w:rPr>
                <w:rFonts w:ascii="Segoe UI" w:hAnsi="Segoe UI" w:cs="Segoe UI"/>
                <w:b/>
                <w:bCs/>
                <w:sz w:val="19"/>
                <w:szCs w:val="19"/>
                <w:lang w:eastAsia="en-AU"/>
              </w:rPr>
              <w:t>Research</w:t>
            </w:r>
          </w:p>
        </w:tc>
      </w:tr>
      <w:tr w:rsidR="001743D6" w:rsidRPr="001743D6" w:rsidTr="00D06FDE">
        <w:trPr>
          <w:trHeight w:val="89"/>
        </w:trPr>
        <w:tc>
          <w:tcPr>
            <w:tcW w:w="5000" w:type="pct"/>
            <w:gridSpan w:val="10"/>
            <w:shd w:val="clear" w:color="000000" w:fill="31849B"/>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Mammals </w:t>
            </w:r>
          </w:p>
        </w:tc>
      </w:tr>
      <w:tr w:rsidR="001743D6" w:rsidRPr="001743D6" w:rsidTr="00D06FDE">
        <w:tblPrEx>
          <w:tblCellMar>
            <w:top w:w="0" w:type="dxa"/>
            <w:bottom w:w="0" w:type="dxa"/>
          </w:tblCellMar>
        </w:tblPrEx>
        <w:trPr>
          <w:gridAfter w:val="1"/>
          <w:wAfter w:w="11" w:type="pct"/>
          <w:trHeight w:hRule="exact" w:val="170"/>
        </w:trPr>
        <w:tc>
          <w:tcPr>
            <w:tcW w:w="1501" w:type="pct"/>
            <w:vMerge w:val="restar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Broad-toothed rat</w:t>
            </w:r>
          </w:p>
        </w:tc>
        <w:tc>
          <w:tcPr>
            <w:tcW w:w="436" w:type="pct"/>
            <w:vMerge w:val="restart"/>
            <w:shd w:val="clear" w:color="auto" w:fill="auto"/>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c>
          <w:tcPr>
            <w:tcW w:w="439" w:type="pct"/>
            <w:vMerge w:val="restart"/>
            <w:shd w:val="clear" w:color="auto" w:fill="FFFF99"/>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c>
          <w:tcPr>
            <w:tcW w:w="436" w:type="pct"/>
            <w:vMerge w:val="restart"/>
            <w:shd w:val="clear" w:color="auto" w:fill="FFFF99"/>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c>
          <w:tcPr>
            <w:tcW w:w="439" w:type="pct"/>
            <w:vMerge w:val="restart"/>
            <w:shd w:val="clear" w:color="auto" w:fill="auto"/>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c>
          <w:tcPr>
            <w:tcW w:w="437" w:type="pct"/>
            <w:vMerge w:val="restart"/>
            <w:shd w:val="clear" w:color="auto" w:fill="auto"/>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c>
          <w:tcPr>
            <w:tcW w:w="439" w:type="pct"/>
            <w:vMerge w:val="restart"/>
            <w:shd w:val="clear" w:color="auto" w:fill="auto"/>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c>
          <w:tcPr>
            <w:tcW w:w="437" w:type="pct"/>
            <w:vMerge w:val="restart"/>
            <w:shd w:val="clear" w:color="auto" w:fill="auto"/>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c>
          <w:tcPr>
            <w:tcW w:w="424" w:type="pct"/>
            <w:vMerge w:val="restart"/>
            <w:shd w:val="clear" w:color="auto" w:fill="auto"/>
            <w:vAlign w:val="center"/>
          </w:tcPr>
          <w:p w:rsidR="001743D6" w:rsidRPr="001743D6" w:rsidRDefault="001743D6" w:rsidP="001743D6">
            <w:pPr>
              <w:spacing w:after="0" w:line="240" w:lineRule="auto"/>
              <w:rPr>
                <w:rFonts w:ascii="Calibri" w:eastAsia="STZhongsong" w:hAnsi="Calibri" w:cs="Majalla UI"/>
                <w:sz w:val="20"/>
                <w:szCs w:val="20"/>
                <w:lang w:eastAsia="ko-KR"/>
              </w:rPr>
            </w:pPr>
          </w:p>
        </w:tc>
      </w:tr>
      <w:tr w:rsidR="001743D6" w:rsidRPr="001743D6" w:rsidTr="00D06FDE">
        <w:tblPrEx>
          <w:tblCellMar>
            <w:top w:w="0" w:type="dxa"/>
            <w:bottom w:w="0" w:type="dxa"/>
          </w:tblCellMar>
        </w:tblPrEx>
        <w:trPr>
          <w:gridAfter w:val="1"/>
          <w:wAfter w:w="11" w:type="pct"/>
          <w:trHeight w:hRule="exact" w:val="170"/>
        </w:trPr>
        <w:tc>
          <w:tcPr>
            <w:tcW w:w="1501" w:type="pct"/>
            <w:vMerge/>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vMerge/>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9" w:type="pct"/>
            <w:vMerge/>
            <w:shd w:val="clear" w:color="auto" w:fill="FFFF99"/>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6" w:type="pct"/>
            <w:vMerge/>
            <w:shd w:val="clear" w:color="auto" w:fill="FFFF99"/>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9" w:type="pct"/>
            <w:vMerge/>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7" w:type="pct"/>
            <w:vMerge/>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9" w:type="pct"/>
            <w:vMerge/>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7" w:type="pct"/>
            <w:vMerge/>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24" w:type="pct"/>
            <w:vMerge/>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r>
      <w:tr w:rsidR="001743D6" w:rsidRPr="001743D6" w:rsidTr="00D06FDE">
        <w:tblPrEx>
          <w:tblCellMar>
            <w:top w:w="0" w:type="dxa"/>
            <w:bottom w:w="0" w:type="dxa"/>
          </w:tblCellMar>
        </w:tblPrEx>
        <w:trPr>
          <w:gridAfter w:val="1"/>
          <w:wAfter w:w="11" w:type="pct"/>
          <w:trHeight w:hRule="exact" w:val="364"/>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Brush-tailed phascogale</w:t>
            </w:r>
          </w:p>
        </w:tc>
        <w:tc>
          <w:tcPr>
            <w:tcW w:w="436" w:type="pct"/>
            <w:shd w:val="clear" w:color="000000" w:fill="63BE7B"/>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9" w:type="pct"/>
            <w:shd w:val="clear" w:color="auto" w:fill="auto"/>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6" w:type="pct"/>
            <w:shd w:val="clear" w:color="000000" w:fill="63BE7B"/>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9" w:type="pct"/>
            <w:shd w:val="clear" w:color="auto" w:fill="auto"/>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7" w:type="pct"/>
            <w:shd w:val="clear" w:color="auto" w:fill="auto"/>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9" w:type="pct"/>
            <w:shd w:val="clear" w:color="auto" w:fill="auto"/>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37" w:type="pct"/>
            <w:shd w:val="clear" w:color="auto" w:fill="auto"/>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c>
          <w:tcPr>
            <w:tcW w:w="424" w:type="pct"/>
            <w:shd w:val="clear" w:color="auto" w:fill="auto"/>
            <w:vAlign w:val="center"/>
          </w:tcPr>
          <w:p w:rsidR="001743D6" w:rsidRPr="001743D6" w:rsidRDefault="001743D6" w:rsidP="001743D6">
            <w:pPr>
              <w:spacing w:after="0" w:line="240" w:lineRule="auto"/>
              <w:rPr>
                <w:rFonts w:ascii="Calibri" w:eastAsia="Times New Roman" w:hAnsi="Calibri" w:cs="Times New Roman"/>
                <w:sz w:val="20"/>
                <w:szCs w:val="20"/>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Brush-tailed rock-wallaby</w:t>
            </w: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Eastern horseshoe bat</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Greater glider</w:t>
            </w: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Grey-headed flying-fox</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Leadbeater's possum</w:t>
            </w: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Long-footed potoroo</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Long-nosed potoroo</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Smoky mouse</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Spot-tailed quoll</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Squirrel glider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Swamp antechinus</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White-footed dunnart</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Yellow-bellied glider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Yellow-bellied </w:t>
            </w:r>
            <w:proofErr w:type="spellStart"/>
            <w:r w:rsidRPr="001743D6">
              <w:rPr>
                <w:rFonts w:ascii="Segoe UI" w:eastAsia="Calibri" w:hAnsi="Segoe UI" w:cs="Calibri"/>
                <w:sz w:val="19"/>
                <w:szCs w:val="19"/>
                <w:lang w:eastAsia="en-AU"/>
              </w:rPr>
              <w:t>sheathtail</w:t>
            </w:r>
            <w:proofErr w:type="spellEnd"/>
            <w:r w:rsidRPr="001743D6">
              <w:rPr>
                <w:rFonts w:ascii="Segoe UI" w:eastAsia="Calibri" w:hAnsi="Segoe UI" w:cs="Calibri"/>
                <w:sz w:val="19"/>
                <w:szCs w:val="19"/>
                <w:lang w:eastAsia="en-AU"/>
              </w:rPr>
              <w:t xml:space="preserve"> bat</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c>
          <w:tcPr>
            <w:tcW w:w="5000" w:type="pct"/>
            <w:gridSpan w:val="10"/>
            <w:shd w:val="clear" w:color="000000" w:fill="31849B"/>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Birds</w:t>
            </w: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Barking owl</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Brown treecreeper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Chestnut-</w:t>
            </w:r>
            <w:proofErr w:type="spellStart"/>
            <w:r w:rsidRPr="001743D6">
              <w:rPr>
                <w:rFonts w:ascii="Segoe UI" w:eastAsia="Calibri" w:hAnsi="Segoe UI" w:cs="Calibri"/>
                <w:sz w:val="19"/>
                <w:szCs w:val="19"/>
                <w:lang w:eastAsia="en-AU"/>
              </w:rPr>
              <w:t>rumped</w:t>
            </w:r>
            <w:proofErr w:type="spellEnd"/>
            <w:r w:rsidRPr="001743D6">
              <w:rPr>
                <w:rFonts w:ascii="Segoe UI" w:eastAsia="Calibri" w:hAnsi="Segoe UI" w:cs="Calibri"/>
                <w:sz w:val="19"/>
                <w:szCs w:val="19"/>
                <w:lang w:eastAsia="en-AU"/>
              </w:rPr>
              <w:t xml:space="preserve"> </w:t>
            </w:r>
            <w:proofErr w:type="spellStart"/>
            <w:r w:rsidRPr="001743D6">
              <w:rPr>
                <w:rFonts w:ascii="Segoe UI" w:eastAsia="Calibri" w:hAnsi="Segoe UI" w:cs="Calibri"/>
                <w:sz w:val="19"/>
                <w:szCs w:val="19"/>
                <w:lang w:eastAsia="en-AU"/>
              </w:rPr>
              <w:t>heathwren</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Glossy black-cockatoo</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Grey goshawk</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Helmeted honeyeater</w:t>
            </w: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Hooded robin</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Masked owl</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Powerful owl</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Regent honeyeater</w:t>
            </w: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Sooty owl</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Speckled warbler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Spotted quail-thrush</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Square-tailed kite</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Swift parrot</w:t>
            </w: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Turquoise parrot</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White-bellied sea-eagle</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c>
          <w:tcPr>
            <w:tcW w:w="5000" w:type="pct"/>
            <w:gridSpan w:val="10"/>
            <w:shd w:val="clear" w:color="000000" w:fill="31849B"/>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Reptiles</w:t>
            </w: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Alpine bog skink </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Eastern she-oak skink</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Lace monitor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Rosenberg's goanna</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Swamp skink</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c>
          <w:tcPr>
            <w:tcW w:w="5000" w:type="pct"/>
            <w:gridSpan w:val="10"/>
            <w:shd w:val="clear" w:color="000000" w:fill="31849B"/>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Amphibians</w:t>
            </w: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Baw </w:t>
            </w:r>
            <w:proofErr w:type="spellStart"/>
            <w:r w:rsidRPr="001743D6">
              <w:rPr>
                <w:rFonts w:ascii="Segoe UI" w:eastAsia="Calibri" w:hAnsi="Segoe UI" w:cs="Calibri"/>
                <w:sz w:val="19"/>
                <w:szCs w:val="19"/>
                <w:lang w:eastAsia="en-AU"/>
              </w:rPr>
              <w:t>Baw</w:t>
            </w:r>
            <w:proofErr w:type="spellEnd"/>
            <w:r w:rsidRPr="001743D6">
              <w:rPr>
                <w:rFonts w:ascii="Segoe UI" w:eastAsia="Calibri" w:hAnsi="Segoe UI" w:cs="Calibri"/>
                <w:sz w:val="19"/>
                <w:szCs w:val="19"/>
                <w:lang w:eastAsia="en-AU"/>
              </w:rPr>
              <w:t xml:space="preserve"> frog</w:t>
            </w: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proofErr w:type="spellStart"/>
            <w:r w:rsidRPr="001743D6">
              <w:rPr>
                <w:rFonts w:ascii="Segoe UI" w:eastAsia="Calibri" w:hAnsi="Segoe UI" w:cs="Calibri"/>
                <w:sz w:val="19"/>
                <w:szCs w:val="19"/>
                <w:lang w:eastAsia="en-AU"/>
              </w:rPr>
              <w:t>Booroolong</w:t>
            </w:r>
            <w:proofErr w:type="spellEnd"/>
            <w:r w:rsidRPr="001743D6">
              <w:rPr>
                <w:rFonts w:ascii="Segoe UI" w:eastAsia="Calibri" w:hAnsi="Segoe UI" w:cs="Calibri"/>
                <w:sz w:val="19"/>
                <w:szCs w:val="19"/>
                <w:lang w:eastAsia="en-AU"/>
              </w:rPr>
              <w:t xml:space="preserve"> tree frog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Brown </w:t>
            </w:r>
            <w:proofErr w:type="spellStart"/>
            <w:r w:rsidRPr="001743D6">
              <w:rPr>
                <w:rFonts w:ascii="Segoe UI" w:eastAsia="Calibri" w:hAnsi="Segoe UI" w:cs="Calibri"/>
                <w:sz w:val="19"/>
                <w:szCs w:val="19"/>
                <w:lang w:eastAsia="en-AU"/>
              </w:rPr>
              <w:t>toadlet</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Giant burrowing frog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Green and golden bell frog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Large brown tree frog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Martin's </w:t>
            </w:r>
            <w:proofErr w:type="spellStart"/>
            <w:r w:rsidRPr="001743D6">
              <w:rPr>
                <w:rFonts w:ascii="Segoe UI" w:eastAsia="Calibri" w:hAnsi="Segoe UI" w:cs="Calibri"/>
                <w:sz w:val="19"/>
                <w:szCs w:val="19"/>
                <w:lang w:eastAsia="en-AU"/>
              </w:rPr>
              <w:t>toadlet</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Southern </w:t>
            </w:r>
            <w:proofErr w:type="spellStart"/>
            <w:r w:rsidRPr="001743D6">
              <w:rPr>
                <w:rFonts w:ascii="Segoe UI" w:eastAsia="Calibri" w:hAnsi="Segoe UI" w:cs="Calibri"/>
                <w:sz w:val="19"/>
                <w:szCs w:val="19"/>
                <w:lang w:eastAsia="en-AU"/>
              </w:rPr>
              <w:t>toadlet</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Spotted tree frog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c>
          <w:tcPr>
            <w:tcW w:w="5000" w:type="pct"/>
            <w:gridSpan w:val="10"/>
            <w:shd w:val="clear" w:color="000000" w:fill="31849B"/>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Fish</w:t>
            </w: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Australian grayling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Barred galaxias</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Cox's </w:t>
            </w:r>
            <w:proofErr w:type="spellStart"/>
            <w:r w:rsidRPr="001743D6">
              <w:rPr>
                <w:rFonts w:ascii="Segoe UI" w:eastAsia="Calibri" w:hAnsi="Segoe UI" w:cs="Calibri"/>
                <w:sz w:val="19"/>
                <w:szCs w:val="19"/>
                <w:lang w:eastAsia="en-AU"/>
              </w:rPr>
              <w:t>gudgeon</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Dwarf galaxias</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Empire </w:t>
            </w:r>
            <w:proofErr w:type="spellStart"/>
            <w:r w:rsidRPr="001743D6">
              <w:rPr>
                <w:rFonts w:ascii="Segoe UI" w:eastAsia="Calibri" w:hAnsi="Segoe UI" w:cs="Calibri"/>
                <w:sz w:val="19"/>
                <w:szCs w:val="19"/>
                <w:lang w:eastAsia="en-AU"/>
              </w:rPr>
              <w:t>gudgeon</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Flat-headed galaxias</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Macquarie perch</w:t>
            </w: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Murray cod</w:t>
            </w: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Trout cod</w:t>
            </w: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000000" w:fill="63BE7B"/>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c>
          <w:tcPr>
            <w:tcW w:w="5000" w:type="pct"/>
            <w:gridSpan w:val="10"/>
            <w:shd w:val="clear" w:color="000000" w:fill="31849B"/>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Invertebrates</w:t>
            </w: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Orbost spiny cray</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c>
          <w:tcPr>
            <w:tcW w:w="5000" w:type="pct"/>
            <w:gridSpan w:val="10"/>
            <w:shd w:val="clear" w:color="000000" w:fill="31849B"/>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Plants</w:t>
            </w: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Baw </w:t>
            </w:r>
            <w:proofErr w:type="spellStart"/>
            <w:r w:rsidRPr="001743D6">
              <w:rPr>
                <w:rFonts w:ascii="Segoe UI" w:eastAsia="Calibri" w:hAnsi="Segoe UI" w:cs="Calibri"/>
                <w:sz w:val="19"/>
                <w:szCs w:val="19"/>
                <w:lang w:eastAsia="en-AU"/>
              </w:rPr>
              <w:t>Baw</w:t>
            </w:r>
            <w:proofErr w:type="spellEnd"/>
            <w:r w:rsidRPr="001743D6">
              <w:rPr>
                <w:rFonts w:ascii="Segoe UI" w:eastAsia="Calibri" w:hAnsi="Segoe UI" w:cs="Calibri"/>
                <w:sz w:val="19"/>
                <w:szCs w:val="19"/>
                <w:lang w:eastAsia="en-AU"/>
              </w:rPr>
              <w:t xml:space="preserve"> berry</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Blackfellow's hemp</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Brown guinea-flower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Colquhoun grevillea</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Eastern </w:t>
            </w:r>
            <w:proofErr w:type="spellStart"/>
            <w:r w:rsidRPr="001743D6">
              <w:rPr>
                <w:rFonts w:ascii="Segoe UI" w:eastAsia="Calibri" w:hAnsi="Segoe UI" w:cs="Calibri"/>
                <w:sz w:val="19"/>
                <w:szCs w:val="19"/>
                <w:lang w:eastAsia="en-AU"/>
              </w:rPr>
              <w:t>pomaderris</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Elegant daisy</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Forest geebung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Forest </w:t>
            </w:r>
            <w:proofErr w:type="spellStart"/>
            <w:r w:rsidRPr="001743D6">
              <w:rPr>
                <w:rFonts w:ascii="Segoe UI" w:eastAsia="Calibri" w:hAnsi="Segoe UI" w:cs="Calibri"/>
                <w:sz w:val="19"/>
                <w:szCs w:val="19"/>
                <w:lang w:eastAsia="en-AU"/>
              </w:rPr>
              <w:t>phebalium</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Forest sedge</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Gippsland stringybark</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Gully grevillea</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Leafless pink-bells</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Outcrop guinea-flower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Oval fork-fern</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Oval-leaf grevillea</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proofErr w:type="spellStart"/>
            <w:r w:rsidRPr="001743D6">
              <w:rPr>
                <w:rFonts w:ascii="Segoe UI" w:eastAsia="Calibri" w:hAnsi="Segoe UI" w:cs="Calibri"/>
                <w:sz w:val="19"/>
                <w:szCs w:val="19"/>
                <w:lang w:eastAsia="en-AU"/>
              </w:rPr>
              <w:t>Sandfly</w:t>
            </w:r>
            <w:proofErr w:type="spellEnd"/>
            <w:r w:rsidRPr="001743D6">
              <w:rPr>
                <w:rFonts w:ascii="Segoe UI" w:eastAsia="Calibri" w:hAnsi="Segoe UI" w:cs="Calibri"/>
                <w:sz w:val="19"/>
                <w:szCs w:val="19"/>
                <w:lang w:eastAsia="en-AU"/>
              </w:rPr>
              <w:t xml:space="preserve"> </w:t>
            </w:r>
            <w:proofErr w:type="spellStart"/>
            <w:r w:rsidRPr="001743D6">
              <w:rPr>
                <w:rFonts w:ascii="Segoe UI" w:eastAsia="Calibri" w:hAnsi="Segoe UI" w:cs="Calibri"/>
                <w:sz w:val="19"/>
                <w:szCs w:val="19"/>
                <w:lang w:eastAsia="en-AU"/>
              </w:rPr>
              <w:t>zieria</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Serpent heath</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Slender fork-fern</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Small fork-fern</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Smooth geebung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Tall </w:t>
            </w:r>
            <w:proofErr w:type="spellStart"/>
            <w:r w:rsidRPr="001743D6">
              <w:rPr>
                <w:rFonts w:ascii="Segoe UI" w:eastAsia="Calibri" w:hAnsi="Segoe UI" w:cs="Calibri"/>
                <w:sz w:val="19"/>
                <w:szCs w:val="19"/>
                <w:lang w:eastAsia="en-AU"/>
              </w:rPr>
              <w:t>astelia</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FFFF99"/>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Tasmanian wax-flower</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Toothed </w:t>
            </w:r>
            <w:proofErr w:type="spellStart"/>
            <w:r w:rsidRPr="001743D6">
              <w:rPr>
                <w:rFonts w:ascii="Segoe UI" w:eastAsia="Calibri" w:hAnsi="Segoe UI" w:cs="Calibri"/>
                <w:sz w:val="19"/>
                <w:szCs w:val="19"/>
                <w:lang w:eastAsia="en-AU"/>
              </w:rPr>
              <w:t>leionema</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Tree geebung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Upright </w:t>
            </w:r>
            <w:proofErr w:type="spellStart"/>
            <w:r w:rsidRPr="001743D6">
              <w:rPr>
                <w:rFonts w:ascii="Segoe UI" w:eastAsia="Calibri" w:hAnsi="Segoe UI" w:cs="Calibri"/>
                <w:sz w:val="19"/>
                <w:szCs w:val="19"/>
                <w:lang w:eastAsia="en-AU"/>
              </w:rPr>
              <w:t>pomaderris</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 xml:space="preserve">Veined </w:t>
            </w:r>
            <w:proofErr w:type="spellStart"/>
            <w:r w:rsidRPr="001743D6">
              <w:rPr>
                <w:rFonts w:ascii="Segoe UI" w:eastAsia="Calibri" w:hAnsi="Segoe UI" w:cs="Calibri"/>
                <w:sz w:val="19"/>
                <w:szCs w:val="19"/>
                <w:lang w:eastAsia="en-AU"/>
              </w:rPr>
              <w:t>pomaderris</w:t>
            </w:r>
            <w:proofErr w:type="spellEnd"/>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r w:rsidR="001743D6" w:rsidRPr="001743D6" w:rsidTr="00D06FDE">
        <w:trPr>
          <w:gridAfter w:val="1"/>
          <w:wAfter w:w="11" w:type="pct"/>
        </w:trPr>
        <w:tc>
          <w:tcPr>
            <w:tcW w:w="1501" w:type="pct"/>
            <w:shd w:val="clear" w:color="auto" w:fill="auto"/>
            <w:vAlign w:val="center"/>
            <w:hideMark/>
          </w:tcPr>
          <w:p w:rsidR="001743D6" w:rsidRPr="001743D6" w:rsidRDefault="001743D6" w:rsidP="001743D6">
            <w:pPr>
              <w:spacing w:before="20" w:after="0" w:line="240" w:lineRule="auto"/>
              <w:rPr>
                <w:rFonts w:ascii="Segoe UI" w:eastAsia="Calibri" w:hAnsi="Segoe UI" w:cs="Calibri"/>
                <w:sz w:val="19"/>
                <w:szCs w:val="19"/>
                <w:lang w:eastAsia="en-AU"/>
              </w:rPr>
            </w:pPr>
            <w:r w:rsidRPr="001743D6">
              <w:rPr>
                <w:rFonts w:ascii="Segoe UI" w:eastAsia="Calibri" w:hAnsi="Segoe UI" w:cs="Calibri"/>
                <w:sz w:val="19"/>
                <w:szCs w:val="19"/>
                <w:lang w:eastAsia="en-AU"/>
              </w:rPr>
              <w:t>Velvety geebung</w:t>
            </w: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6"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9"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37"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c>
          <w:tcPr>
            <w:tcW w:w="424" w:type="pct"/>
            <w:shd w:val="clear" w:color="auto" w:fill="auto"/>
            <w:vAlign w:val="center"/>
          </w:tcPr>
          <w:p w:rsidR="001743D6" w:rsidRPr="001743D6" w:rsidRDefault="001743D6" w:rsidP="001743D6">
            <w:pPr>
              <w:spacing w:before="20" w:after="0" w:line="240" w:lineRule="auto"/>
              <w:rPr>
                <w:rFonts w:ascii="Segoe UI" w:eastAsia="Calibri" w:hAnsi="Segoe UI" w:cs="Calibri"/>
                <w:sz w:val="19"/>
                <w:szCs w:val="19"/>
                <w:lang w:eastAsia="en-AU"/>
              </w:rPr>
            </w:pPr>
          </w:p>
        </w:tc>
      </w:tr>
    </w:tbl>
    <w:p w:rsidR="001743D6" w:rsidRPr="001743D6" w:rsidRDefault="001743D6" w:rsidP="001743D6">
      <w:pPr>
        <w:tabs>
          <w:tab w:val="left" w:pos="426"/>
        </w:tabs>
        <w:spacing w:before="80"/>
        <w:contextualSpacing/>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Note: Yellow cells denote minor activity – routine or ad hoc. Green cells denote substantial activity – targeted or sustained. Blank cells denote no activity.</w:t>
      </w:r>
    </w:p>
    <w:p w:rsidR="001743D6" w:rsidRPr="001743D6" w:rsidRDefault="001743D6" w:rsidP="001743D6">
      <w:pPr>
        <w:rPr>
          <w:rFonts w:ascii="Segoe UI" w:hAnsi="Segoe UI" w:cs="Segoe UI"/>
          <w:b/>
          <w:color w:val="000000"/>
          <w:sz w:val="24"/>
          <w:szCs w:val="24"/>
        </w:rPr>
      </w:pPr>
      <w:bookmarkStart w:id="73" w:name="_Toc11768314"/>
      <w:r w:rsidRPr="001743D6">
        <w:rPr>
          <w:rFonts w:ascii="Segoe UI" w:hAnsi="Segoe UI" w:cs="Segoe UI"/>
        </w:rPr>
        <w:br w:type="page"/>
      </w:r>
    </w:p>
    <w:p w:rsidR="001743D6" w:rsidRPr="001743D6" w:rsidRDefault="001743D6" w:rsidP="001743D6">
      <w:pPr>
        <w:keepNext/>
        <w:spacing w:before="240" w:after="240" w:line="240" w:lineRule="auto"/>
        <w:outlineLvl w:val="2"/>
        <w:rPr>
          <w:rFonts w:ascii="Segoe UI" w:hAnsi="Segoe UI" w:cs="Segoe UI"/>
          <w:b/>
          <w:color w:val="000000"/>
          <w:sz w:val="24"/>
          <w:szCs w:val="24"/>
        </w:rPr>
      </w:pPr>
      <w:bookmarkStart w:id="74" w:name="_Toc30491996"/>
      <w:bookmarkStart w:id="75" w:name="_Toc33002093"/>
      <w:r w:rsidRPr="001743D6">
        <w:rPr>
          <w:rFonts w:ascii="Segoe UI" w:hAnsi="Segoe UI" w:cs="Segoe UI"/>
          <w:b/>
          <w:color w:val="000000"/>
          <w:sz w:val="24"/>
          <w:szCs w:val="24"/>
        </w:rPr>
        <w:t>Indicator 1.3b: Native forest and plantations of indigenous timber species which have genetic resource conservation mechanisms in place</w:t>
      </w:r>
      <w:bookmarkEnd w:id="73"/>
      <w:bookmarkEnd w:id="74"/>
      <w:bookmarkEnd w:id="75"/>
    </w:p>
    <w:p w:rsidR="001743D6" w:rsidRPr="001743D6" w:rsidRDefault="001743D6" w:rsidP="001743D6">
      <w:pPr>
        <w:jc w:val="both"/>
        <w:rPr>
          <w:rFonts w:ascii="Segoe UI" w:hAnsi="Segoe UI" w:cs="Segoe UI"/>
        </w:rPr>
      </w:pPr>
      <w:r w:rsidRPr="001743D6">
        <w:rPr>
          <w:rFonts w:ascii="Segoe UI" w:hAnsi="Segoe UI" w:cs="Segoe UI"/>
        </w:rPr>
        <w:t>Mountain Ash (</w:t>
      </w:r>
      <w:r w:rsidRPr="001743D6">
        <w:rPr>
          <w:rFonts w:ascii="Segoe UI" w:hAnsi="Segoe UI" w:cs="Segoe UI"/>
          <w:i/>
        </w:rPr>
        <w:t xml:space="preserve">Eucalyptus </w:t>
      </w:r>
      <w:proofErr w:type="spellStart"/>
      <w:r w:rsidRPr="001743D6">
        <w:rPr>
          <w:rFonts w:ascii="Segoe UI" w:hAnsi="Segoe UI" w:cs="Segoe UI"/>
          <w:i/>
        </w:rPr>
        <w:t>regnans</w:t>
      </w:r>
      <w:proofErr w:type="spellEnd"/>
      <w:r w:rsidRPr="001743D6">
        <w:rPr>
          <w:rFonts w:ascii="Segoe UI" w:hAnsi="Segoe UI" w:cs="Segoe UI"/>
        </w:rPr>
        <w:t>) and Alpine Ash (</w:t>
      </w:r>
      <w:r w:rsidRPr="001743D6">
        <w:rPr>
          <w:rFonts w:ascii="Segoe UI" w:hAnsi="Segoe UI" w:cs="Segoe UI"/>
          <w:i/>
        </w:rPr>
        <w:t xml:space="preserve">E. </w:t>
      </w:r>
      <w:proofErr w:type="spellStart"/>
      <w:r w:rsidRPr="001743D6">
        <w:rPr>
          <w:rFonts w:ascii="Segoe UI" w:hAnsi="Segoe UI" w:cs="Segoe UI"/>
          <w:i/>
        </w:rPr>
        <w:t>delegatensis</w:t>
      </w:r>
      <w:proofErr w:type="spellEnd"/>
      <w:r w:rsidRPr="001743D6">
        <w:rPr>
          <w:rFonts w:ascii="Segoe UI" w:hAnsi="Segoe UI" w:cs="Segoe UI"/>
        </w:rPr>
        <w:t>) forests are at risk of regeneration failure and forest type conversion following bushfires. Forests most at risk are those younger than seed-bearing age (20 years) because they lack their own seed and cannot self-regenerate. This is an increasing class of forest in Victoria due to frequent bushfires in the past 15 years.</w:t>
      </w:r>
    </w:p>
    <w:p w:rsidR="001743D6" w:rsidRPr="001743D6" w:rsidRDefault="001743D6" w:rsidP="001743D6">
      <w:pPr>
        <w:jc w:val="both"/>
        <w:rPr>
          <w:rFonts w:ascii="Segoe UI" w:hAnsi="Segoe UI" w:cs="Segoe UI"/>
        </w:rPr>
      </w:pPr>
      <w:r w:rsidRPr="001743D6">
        <w:rPr>
          <w:rFonts w:ascii="Segoe UI" w:hAnsi="Segoe UI" w:cs="Segoe UI"/>
        </w:rPr>
        <w:t xml:space="preserve">This risk was acknowledged in June 2018 by the Victorian Auditor-General’s Office (VAGO). In their published follow-up of selected 2012–13 and 2013–14 performance audits, they noted, for the audit titled </w:t>
      </w:r>
      <w:r w:rsidRPr="001743D6">
        <w:rPr>
          <w:rFonts w:ascii="Segoe UI" w:hAnsi="Segoe UI" w:cs="Segoe UI"/>
          <w:i/>
        </w:rPr>
        <w:t>Managing Victoria’s native forest timber resources</w:t>
      </w:r>
      <w:r w:rsidRPr="001743D6">
        <w:rPr>
          <w:rFonts w:ascii="Segoe UI" w:hAnsi="Segoe UI" w:cs="Segoe UI"/>
        </w:rPr>
        <w:t xml:space="preserve">, that DELWP ‘still has more to do’ including ‘ensuring there is adequate seed supply for forest regeneration’ (VAGO 2018, p. 27). VAGO went on to note that DELWP has ‘increased its stores of ash seed to close to four tonnes but estimates that it needs 12 tonnes to assist in future fire recovery works’ (ibid., p. 35). </w:t>
      </w:r>
    </w:p>
    <w:p w:rsidR="001743D6" w:rsidRPr="001743D6" w:rsidRDefault="001743D6" w:rsidP="001743D6">
      <w:pPr>
        <w:jc w:val="both"/>
        <w:rPr>
          <w:rFonts w:ascii="Segoe UI" w:hAnsi="Segoe UI" w:cs="Segoe UI"/>
        </w:rPr>
      </w:pPr>
      <w:r w:rsidRPr="001743D6">
        <w:rPr>
          <w:rFonts w:ascii="Segoe UI" w:hAnsi="Segoe UI" w:cs="Segoe UI"/>
        </w:rPr>
        <w:t xml:space="preserve">In response, DELWP has committed to improve its management of seed policy and seed stores and has established a </w:t>
      </w:r>
      <w:proofErr w:type="spellStart"/>
      <w:r w:rsidRPr="001743D6">
        <w:rPr>
          <w:rFonts w:ascii="Segoe UI" w:hAnsi="Segoe UI" w:cs="Segoe UI"/>
        </w:rPr>
        <w:t>Statewide</w:t>
      </w:r>
      <w:proofErr w:type="spellEnd"/>
      <w:r w:rsidRPr="001743D6">
        <w:rPr>
          <w:rFonts w:ascii="Segoe UI" w:hAnsi="Segoe UI" w:cs="Segoe UI"/>
        </w:rPr>
        <w:t xml:space="preserve"> Seed Coordination Group under the Forest Fire Operations Division. The aim of this group is to drive improvement in strategic seed management through coordinated liaison with relevant stakeholders and agencies such as </w:t>
      </w:r>
      <w:proofErr w:type="spellStart"/>
      <w:r w:rsidRPr="001743D6">
        <w:rPr>
          <w:rFonts w:ascii="Segoe UI" w:hAnsi="Segoe UI" w:cs="Segoe UI"/>
        </w:rPr>
        <w:t>VicForests</w:t>
      </w:r>
      <w:proofErr w:type="spellEnd"/>
      <w:r w:rsidRPr="001743D6">
        <w:rPr>
          <w:rFonts w:ascii="Segoe UI" w:hAnsi="Segoe UI" w:cs="Segoe UI"/>
        </w:rPr>
        <w:t xml:space="preserve"> and Parks Victoria. </w:t>
      </w:r>
    </w:p>
    <w:p w:rsidR="001743D6" w:rsidRPr="001743D6" w:rsidRDefault="001743D6" w:rsidP="001743D6">
      <w:pPr>
        <w:jc w:val="both"/>
        <w:rPr>
          <w:rFonts w:ascii="Segoe UI" w:hAnsi="Segoe UI" w:cs="Segoe UI"/>
        </w:rPr>
      </w:pPr>
      <w:r w:rsidRPr="001743D6">
        <w:rPr>
          <w:rFonts w:ascii="Segoe UI" w:hAnsi="Segoe UI" w:cs="Segoe UI"/>
        </w:rPr>
        <w:t xml:space="preserve">The </w:t>
      </w:r>
      <w:r w:rsidRPr="001743D6">
        <w:rPr>
          <w:rFonts w:ascii="Segoe UI" w:hAnsi="Segoe UI" w:cs="Segoe UI"/>
          <w:i/>
        </w:rPr>
        <w:t xml:space="preserve">Management Standards and Procedures for timber harvesting operations in Victorian State forests 2014 </w:t>
      </w:r>
      <w:r w:rsidRPr="001743D6">
        <w:rPr>
          <w:rFonts w:ascii="Segoe UI" w:hAnsi="Segoe UI" w:cs="Segoe UI"/>
        </w:rPr>
        <w:t xml:space="preserve">defines the protocol for seed collection to support regeneration following timber harvesting. A number of provisions relate to the maintenance of genetic resources. These include (but are not limited to) the following: </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9.1.3.1 Prioritise seed collection from within areas available for timber harvesting operations.</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9.1.3.2 Ensure large hollow‐bearing trees and habitat trees retained during previous timber harvesting operations are not felled for seed collection.</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9.1.3.3 Collect seed from stands that show no evidence of hybridisation and have experienced a widespread and preferably heavy flowering in which trees with good crops are close together.</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9.1.3.4 Collect seed only from stands of natural origin or artificially regenerated stands of satisfactory genetic status in which the full, original gene pool of the population is represented. Stands regenerated from seed trees are regarded as of natural origin for seed collection purposes.</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9.1.3.5 Prioritise using seed collected from the coupe; i.e., regenerate with seed fall from retained trees and/or logging slash, or sow the coupe with seed collected from that coupe. Otherwise, prioritise using seed that meets the following criteria:</w:t>
      </w:r>
    </w:p>
    <w:p w:rsidR="001743D6" w:rsidRPr="001743D6" w:rsidRDefault="001743D6" w:rsidP="001743D6">
      <w:pPr>
        <w:tabs>
          <w:tab w:val="left" w:pos="1843"/>
        </w:tabs>
        <w:spacing w:line="250" w:lineRule="auto"/>
        <w:ind w:left="1843" w:right="794" w:hanging="425"/>
        <w:jc w:val="both"/>
        <w:rPr>
          <w:rFonts w:ascii="Segoe UI" w:hAnsi="Segoe UI" w:cs="Segoe UI"/>
          <w:iCs/>
          <w:sz w:val="20"/>
          <w:szCs w:val="14"/>
        </w:rPr>
      </w:pPr>
      <w:r w:rsidRPr="001743D6">
        <w:rPr>
          <w:rFonts w:ascii="Segoe UI" w:hAnsi="Segoe UI" w:cs="Segoe UI"/>
          <w:iCs/>
          <w:sz w:val="20"/>
          <w:szCs w:val="14"/>
        </w:rPr>
        <w:t xml:space="preserve">(a) </w:t>
      </w:r>
      <w:r w:rsidRPr="001743D6">
        <w:rPr>
          <w:rFonts w:ascii="Segoe UI" w:hAnsi="Segoe UI" w:cs="Segoe UI"/>
          <w:iCs/>
          <w:sz w:val="20"/>
          <w:szCs w:val="14"/>
        </w:rPr>
        <w:tab/>
        <w:t>the collection site is within 25 km of the coupe to be sown;</w:t>
      </w:r>
    </w:p>
    <w:p w:rsidR="001743D6" w:rsidRPr="001743D6" w:rsidRDefault="001743D6" w:rsidP="001743D6">
      <w:pPr>
        <w:tabs>
          <w:tab w:val="left" w:pos="1843"/>
        </w:tabs>
        <w:spacing w:line="250" w:lineRule="auto"/>
        <w:ind w:left="1843" w:right="794" w:hanging="425"/>
        <w:jc w:val="both"/>
        <w:rPr>
          <w:rFonts w:ascii="Segoe UI" w:hAnsi="Segoe UI" w:cs="Segoe UI"/>
          <w:iCs/>
          <w:sz w:val="20"/>
          <w:szCs w:val="14"/>
        </w:rPr>
      </w:pPr>
      <w:r w:rsidRPr="001743D6">
        <w:rPr>
          <w:rFonts w:ascii="Segoe UI" w:hAnsi="Segoe UI" w:cs="Segoe UI"/>
          <w:iCs/>
          <w:sz w:val="20"/>
          <w:szCs w:val="14"/>
        </w:rPr>
        <w:t xml:space="preserve">(b) </w:t>
      </w:r>
      <w:r w:rsidRPr="001743D6">
        <w:rPr>
          <w:rFonts w:ascii="Segoe UI" w:hAnsi="Segoe UI" w:cs="Segoe UI"/>
          <w:iCs/>
          <w:sz w:val="20"/>
          <w:szCs w:val="14"/>
        </w:rPr>
        <w:tab/>
        <w:t>the mid‐elevation of the collection site is within 350 m above to 150 m below the mid‐elevation of the coupe to be sown;</w:t>
      </w:r>
    </w:p>
    <w:p w:rsidR="001743D6" w:rsidRPr="001743D6" w:rsidRDefault="001743D6" w:rsidP="001743D6">
      <w:pPr>
        <w:tabs>
          <w:tab w:val="left" w:pos="1843"/>
        </w:tabs>
        <w:spacing w:line="250" w:lineRule="auto"/>
        <w:ind w:left="1843" w:right="794" w:hanging="425"/>
        <w:jc w:val="both"/>
        <w:rPr>
          <w:rFonts w:ascii="Segoe UI" w:hAnsi="Segoe UI" w:cs="Segoe UI"/>
          <w:iCs/>
          <w:sz w:val="20"/>
          <w:szCs w:val="14"/>
        </w:rPr>
      </w:pPr>
      <w:r w:rsidRPr="001743D6">
        <w:rPr>
          <w:rFonts w:ascii="Segoe UI" w:hAnsi="Segoe UI" w:cs="Segoe UI"/>
          <w:iCs/>
          <w:sz w:val="20"/>
          <w:szCs w:val="14"/>
        </w:rPr>
        <w:t xml:space="preserve">(c) </w:t>
      </w:r>
      <w:r w:rsidRPr="001743D6">
        <w:rPr>
          <w:rFonts w:ascii="Segoe UI" w:hAnsi="Segoe UI" w:cs="Segoe UI"/>
          <w:iCs/>
          <w:sz w:val="20"/>
          <w:szCs w:val="14"/>
        </w:rPr>
        <w:tab/>
        <w:t>for slopes &gt;10 ° the collection and sowing sites have similar aspect (separate between ‘drier' aspects (W, NW, N, NE) and ‘moister’ aspects (SW, S, SE, E); and</w:t>
      </w:r>
    </w:p>
    <w:p w:rsidR="001743D6" w:rsidRPr="001743D6" w:rsidRDefault="001743D6" w:rsidP="001743D6">
      <w:pPr>
        <w:tabs>
          <w:tab w:val="left" w:pos="1843"/>
        </w:tabs>
        <w:spacing w:line="250" w:lineRule="auto"/>
        <w:ind w:left="1843" w:right="794" w:hanging="425"/>
        <w:jc w:val="both"/>
        <w:rPr>
          <w:rFonts w:ascii="Segoe UI" w:hAnsi="Segoe UI" w:cs="Segoe UI"/>
          <w:iCs/>
          <w:sz w:val="20"/>
          <w:szCs w:val="14"/>
        </w:rPr>
      </w:pPr>
      <w:r w:rsidRPr="001743D6">
        <w:rPr>
          <w:rFonts w:ascii="Segoe UI" w:hAnsi="Segoe UI" w:cs="Segoe UI"/>
          <w:iCs/>
          <w:sz w:val="20"/>
          <w:szCs w:val="14"/>
        </w:rPr>
        <w:t xml:space="preserve">(d) </w:t>
      </w:r>
      <w:r w:rsidRPr="001743D6">
        <w:rPr>
          <w:rFonts w:ascii="Segoe UI" w:hAnsi="Segoe UI" w:cs="Segoe UI"/>
          <w:iCs/>
          <w:sz w:val="20"/>
          <w:szCs w:val="14"/>
        </w:rPr>
        <w:tab/>
        <w:t xml:space="preserve">the collection and sowing sites are of similar soil type and parent material. </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9.1.3.6 Where seed quantities within areas available for timber harvesting operations are inadequate to meet regeneration requirements, application may be made to the Minister or delegate to collect seed from standing trees within areas excluded from timber harvesting operations in accordance with section 1.4 and clauses 9.1.3.7 to 9.1.3.10.</w:t>
      </w:r>
    </w:p>
    <w:p w:rsidR="001743D6" w:rsidRPr="001743D6" w:rsidRDefault="001743D6" w:rsidP="001743D6">
      <w:pPr>
        <w:spacing w:line="250" w:lineRule="auto"/>
        <w:ind w:left="794" w:right="794"/>
        <w:jc w:val="both"/>
        <w:rPr>
          <w:rFonts w:ascii="Segoe UI" w:hAnsi="Segoe UI" w:cs="Segoe UI"/>
          <w:iCs/>
          <w:sz w:val="20"/>
          <w:szCs w:val="14"/>
        </w:rPr>
      </w:pPr>
      <w:r w:rsidRPr="001743D6">
        <w:rPr>
          <w:rFonts w:ascii="Segoe UI" w:hAnsi="Segoe UI" w:cs="Segoe UI"/>
          <w:iCs/>
          <w:sz w:val="20"/>
          <w:szCs w:val="14"/>
        </w:rPr>
        <w:t>(Victorian Department of Environment and Primary Industries [DEPI] 2014b, pp. 64–5)</w:t>
      </w:r>
    </w:p>
    <w:p w:rsidR="001743D6" w:rsidRPr="001743D6" w:rsidRDefault="001743D6" w:rsidP="001743D6">
      <w:pPr>
        <w:jc w:val="both"/>
        <w:rPr>
          <w:rFonts w:ascii="Segoe UI" w:hAnsi="Segoe UI" w:cs="Segoe UI"/>
        </w:rPr>
      </w:pPr>
      <w:r w:rsidRPr="001743D6">
        <w:rPr>
          <w:rFonts w:ascii="Segoe UI" w:hAnsi="Segoe UI" w:cs="Segoe UI"/>
        </w:rPr>
        <w:t>Seed harvests (</w:t>
      </w:r>
      <w:r w:rsidRPr="001743D6">
        <w:rPr>
          <w:rFonts w:ascii="Segoe UI" w:hAnsi="Segoe UI" w:cs="Segoe UI"/>
        </w:rPr>
        <w:fldChar w:fldCharType="begin"/>
      </w:r>
      <w:r w:rsidRPr="001743D6">
        <w:rPr>
          <w:rFonts w:ascii="Segoe UI" w:hAnsi="Segoe UI" w:cs="Segoe UI"/>
        </w:rPr>
        <w:instrText xml:space="preserve"> REF _Ref19198574 \h </w:instrText>
      </w:r>
      <w:r w:rsidRPr="001743D6">
        <w:rPr>
          <w:rFonts w:ascii="Segoe UI" w:hAnsi="Segoe UI" w:cs="Segoe UI"/>
        </w:rPr>
      </w:r>
      <w:r w:rsidRPr="001743D6">
        <w:rPr>
          <w:rFonts w:ascii="Segoe UI" w:hAnsi="Segoe UI" w:cs="Segoe UI"/>
        </w:rPr>
        <w:fldChar w:fldCharType="separate"/>
      </w:r>
      <w:r w:rsidRPr="001743D6">
        <w:rPr>
          <w:rFonts w:ascii="Segoe UI" w:hAnsi="Segoe UI" w:cs="Segoe UI"/>
        </w:rPr>
        <w:t xml:space="preserve">Table </w:t>
      </w:r>
      <w:r w:rsidRPr="001743D6">
        <w:rPr>
          <w:rFonts w:ascii="Segoe UI" w:hAnsi="Segoe UI" w:cs="Segoe UI"/>
          <w:noProof/>
        </w:rPr>
        <w:t>37</w:t>
      </w:r>
      <w:r w:rsidRPr="001743D6">
        <w:rPr>
          <w:rFonts w:ascii="Segoe UI" w:hAnsi="Segoe UI" w:cs="Segoe UI"/>
        </w:rPr>
        <w:fldChar w:fldCharType="end"/>
      </w:r>
      <w:r w:rsidRPr="001743D6">
        <w:rPr>
          <w:rFonts w:ascii="Segoe UI" w:hAnsi="Segoe UI" w:cs="Segoe UI"/>
        </w:rPr>
        <w:t>) fluctuate depending on environmental factors associated with seed availability. Seed usage remains fairly constant, but collection peaks in times of better seed availability. When there are good crops available it is possible to collect enough to compensate for times of poorer availability. Eucalypts tend to only flower heavily about once every five years or so, with much lighter flowering and consequently poorer seed crops in between.</w:t>
      </w:r>
    </w:p>
    <w:p w:rsidR="001743D6" w:rsidRPr="001743D6" w:rsidRDefault="001743D6" w:rsidP="001743D6">
      <w:pPr>
        <w:spacing w:after="200" w:line="240" w:lineRule="auto"/>
        <w:rPr>
          <w:rFonts w:ascii="Segoe UI Semibold" w:eastAsia="Times New Roman" w:hAnsi="Segoe UI Semibold" w:cs="Times New Roman"/>
          <w:color w:val="016295"/>
        </w:rPr>
      </w:pPr>
      <w:bookmarkStart w:id="76" w:name="_Ref19198574"/>
      <w:bookmarkStart w:id="77" w:name="_Toc25660820"/>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37</w:t>
      </w:r>
      <w:r w:rsidRPr="001743D6">
        <w:rPr>
          <w:rFonts w:ascii="Segoe UI Semibold" w:eastAsia="Times New Roman" w:hAnsi="Segoe UI Semibold" w:cs="Times New Roman"/>
          <w:noProof/>
          <w:color w:val="016295"/>
        </w:rPr>
        <w:fldChar w:fldCharType="end"/>
      </w:r>
      <w:bookmarkEnd w:id="76"/>
      <w:r w:rsidRPr="001743D6">
        <w:rPr>
          <w:rFonts w:ascii="Segoe UI Semibold" w:eastAsia="Times New Roman" w:hAnsi="Segoe UI Semibold" w:cs="Times New Roman"/>
          <w:color w:val="016295"/>
        </w:rPr>
        <w:t xml:space="preserve">: Seed harvest </w:t>
      </w:r>
      <w:bookmarkEnd w:id="77"/>
    </w:p>
    <w:tbl>
      <w:tblPr>
        <w:tblStyle w:val="xTable1"/>
        <w:tblW w:w="2684" w:type="dxa"/>
        <w:tblLook w:val="04A0" w:firstRow="1" w:lastRow="0" w:firstColumn="1" w:lastColumn="0" w:noHBand="0" w:noVBand="1"/>
      </w:tblPr>
      <w:tblGrid>
        <w:gridCol w:w="1266"/>
        <w:gridCol w:w="1418"/>
      </w:tblGrid>
      <w:tr w:rsidR="001743D6" w:rsidRPr="001743D6" w:rsidTr="00D06FDE">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1266" w:type="dxa"/>
            <w:hideMark/>
          </w:tcPr>
          <w:p w:rsidR="001743D6" w:rsidRPr="001743D6" w:rsidRDefault="001743D6" w:rsidP="001743D6">
            <w:pPr>
              <w:rPr>
                <w:rFonts w:ascii="Segoe UI" w:hAnsi="Segoe UI" w:cs="Segoe UI"/>
              </w:rPr>
            </w:pPr>
            <w:r w:rsidRPr="001743D6">
              <w:rPr>
                <w:rFonts w:ascii="Segoe UI" w:hAnsi="Segoe UI" w:cs="Segoe UI"/>
              </w:rPr>
              <w:t>Year</w:t>
            </w:r>
          </w:p>
        </w:tc>
        <w:tc>
          <w:tcPr>
            <w:tcW w:w="1418" w:type="dxa"/>
            <w:hideMark/>
          </w:tcPr>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743D6">
              <w:rPr>
                <w:rFonts w:ascii="Segoe UI" w:hAnsi="Segoe UI" w:cs="Segoe UI"/>
              </w:rPr>
              <w:t>Seed harvest</w:t>
            </w:r>
          </w:p>
          <w:p w:rsidR="001743D6" w:rsidRPr="001743D6" w:rsidRDefault="001743D6" w:rsidP="001743D6">
            <w:pPr>
              <w:cnfStyle w:val="100000000000" w:firstRow="1" w:lastRow="0" w:firstColumn="0" w:lastColumn="0" w:oddVBand="0" w:evenVBand="0" w:oddHBand="0" w:evenHBand="0" w:firstRowFirstColumn="0" w:firstRowLastColumn="0" w:lastRowFirstColumn="0" w:lastRowLastColumn="0"/>
              <w:rPr>
                <w:rFonts w:ascii="Segoe UI" w:hAnsi="Segoe UI" w:cs="Segoe UI"/>
                <w:b/>
                <w:bCs/>
                <w:lang w:eastAsia="en-AU"/>
              </w:rPr>
            </w:pPr>
            <w:r w:rsidRPr="001743D6">
              <w:rPr>
                <w:rFonts w:ascii="Segoe UI" w:hAnsi="Segoe UI" w:cs="Segoe UI"/>
                <w:lang w:eastAsia="en-AU"/>
              </w:rPr>
              <w:t>(kg)</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266"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2010–11</w:t>
            </w:r>
          </w:p>
        </w:tc>
        <w:tc>
          <w:tcPr>
            <w:tcW w:w="1418" w:type="dxa"/>
            <w:hideMark/>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6,174</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66"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2011–12</w:t>
            </w:r>
          </w:p>
        </w:tc>
        <w:tc>
          <w:tcPr>
            <w:tcW w:w="1418" w:type="dxa"/>
            <w:hideMark/>
          </w:tcPr>
          <w:p w:rsidR="001743D6" w:rsidRPr="001743D6" w:rsidRDefault="001743D6" w:rsidP="001743D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4,457</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66"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2012–13</w:t>
            </w:r>
          </w:p>
        </w:tc>
        <w:tc>
          <w:tcPr>
            <w:tcW w:w="1418" w:type="dxa"/>
            <w:hideMark/>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1,526</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66"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2013–14</w:t>
            </w:r>
          </w:p>
        </w:tc>
        <w:tc>
          <w:tcPr>
            <w:tcW w:w="1418" w:type="dxa"/>
            <w:hideMark/>
          </w:tcPr>
          <w:p w:rsidR="001743D6" w:rsidRPr="001743D6" w:rsidRDefault="001743D6" w:rsidP="001743D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1,192</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66"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2014–15</w:t>
            </w:r>
          </w:p>
        </w:tc>
        <w:tc>
          <w:tcPr>
            <w:tcW w:w="1418" w:type="dxa"/>
            <w:hideMark/>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1,380</w:t>
            </w:r>
          </w:p>
        </w:tc>
      </w:tr>
      <w:tr w:rsidR="001743D6" w:rsidRPr="001743D6" w:rsidTr="00D06FDE">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66"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2015–16</w:t>
            </w:r>
          </w:p>
        </w:tc>
        <w:tc>
          <w:tcPr>
            <w:tcW w:w="1418" w:type="dxa"/>
            <w:hideMark/>
          </w:tcPr>
          <w:p w:rsidR="001743D6" w:rsidRPr="001743D6" w:rsidRDefault="001743D6" w:rsidP="001743D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4,317</w:t>
            </w:r>
          </w:p>
        </w:tc>
      </w:tr>
      <w:tr w:rsidR="001743D6" w:rsidRPr="001743D6" w:rsidTr="00D06FD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66" w:type="dxa"/>
            <w:hideMark/>
          </w:tcPr>
          <w:p w:rsidR="001743D6" w:rsidRPr="001743D6" w:rsidRDefault="001743D6" w:rsidP="001743D6">
            <w:pPr>
              <w:spacing w:after="0" w:line="240" w:lineRule="auto"/>
              <w:rPr>
                <w:rFonts w:ascii="Segoe UI" w:eastAsia="Calibri" w:hAnsi="Segoe UI" w:cs="Calibri"/>
                <w:szCs w:val="19"/>
                <w:lang w:eastAsia="en-AU"/>
              </w:rPr>
            </w:pPr>
            <w:r w:rsidRPr="001743D6">
              <w:rPr>
                <w:rFonts w:ascii="Segoe UI" w:eastAsia="Calibri" w:hAnsi="Segoe UI" w:cs="Calibri"/>
                <w:szCs w:val="19"/>
                <w:lang w:eastAsia="en-AU"/>
              </w:rPr>
              <w:t>2016–17</w:t>
            </w:r>
          </w:p>
        </w:tc>
        <w:tc>
          <w:tcPr>
            <w:tcW w:w="1418" w:type="dxa"/>
            <w:hideMark/>
          </w:tcPr>
          <w:p w:rsidR="001743D6" w:rsidRPr="001743D6" w:rsidRDefault="001743D6" w:rsidP="001743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1743D6">
              <w:rPr>
                <w:rFonts w:ascii="Segoe UI" w:eastAsia="Calibri" w:hAnsi="Segoe UI" w:cs="Calibri"/>
                <w:szCs w:val="19"/>
                <w:lang w:eastAsia="en-AU"/>
              </w:rPr>
              <w:t>1,378</w:t>
            </w:r>
          </w:p>
        </w:tc>
      </w:tr>
    </w:tbl>
    <w:p w:rsidR="001743D6" w:rsidRPr="001743D6" w:rsidRDefault="001743D6" w:rsidP="001743D6">
      <w:pPr>
        <w:spacing w:before="80"/>
        <w:rPr>
          <w:rFonts w:ascii="Segoe UI" w:eastAsia="STZhongsong" w:hAnsi="Segoe UI" w:cs="Segoe UI"/>
          <w:bCs/>
          <w:sz w:val="18"/>
          <w:szCs w:val="18"/>
          <w:lang w:eastAsia="ko-KR"/>
        </w:rPr>
      </w:pPr>
      <w:r w:rsidRPr="001743D6">
        <w:rPr>
          <w:rFonts w:ascii="Segoe UI" w:eastAsia="STZhongsong" w:hAnsi="Segoe UI" w:cs="Segoe UI"/>
          <w:bCs/>
          <w:sz w:val="18"/>
          <w:szCs w:val="18"/>
          <w:lang w:eastAsia="ko-KR"/>
        </w:rPr>
        <w:t xml:space="preserve">Data from </w:t>
      </w:r>
      <w:proofErr w:type="spellStart"/>
      <w:r w:rsidRPr="001743D6">
        <w:rPr>
          <w:rFonts w:ascii="Segoe UI" w:eastAsia="STZhongsong" w:hAnsi="Segoe UI" w:cs="Segoe UI"/>
          <w:bCs/>
          <w:sz w:val="18"/>
          <w:szCs w:val="18"/>
          <w:lang w:eastAsia="ko-KR"/>
        </w:rPr>
        <w:t>VicForests</w:t>
      </w:r>
      <w:proofErr w:type="spellEnd"/>
      <w:r w:rsidRPr="001743D6">
        <w:rPr>
          <w:rFonts w:ascii="Segoe UI" w:eastAsia="STZhongsong" w:hAnsi="Segoe UI" w:cs="Segoe UI"/>
          <w:bCs/>
          <w:sz w:val="18"/>
          <w:szCs w:val="18"/>
          <w:lang w:eastAsia="ko-KR"/>
        </w:rPr>
        <w:t>.</w:t>
      </w:r>
    </w:p>
    <w:p w:rsidR="001743D6" w:rsidRPr="001743D6" w:rsidRDefault="001743D6" w:rsidP="001743D6">
      <w:pPr>
        <w:jc w:val="both"/>
        <w:rPr>
          <w:rFonts w:ascii="Segoe UI" w:hAnsi="Segoe UI" w:cs="Segoe UI"/>
        </w:rPr>
      </w:pPr>
      <w:r w:rsidRPr="001743D6">
        <w:rPr>
          <w:rFonts w:ascii="Segoe UI" w:hAnsi="Segoe UI" w:cs="Segoe UI"/>
        </w:rPr>
        <w:t>The following table details the location of DELWP’s seed holdings for eastern regions as at end of September 2018. A summary of quantity and numbers of stored seed-lots are given, including specific reference to Alpine Ash (AA) and Mountain Ash (MA).</w:t>
      </w:r>
    </w:p>
    <w:p w:rsidR="001743D6" w:rsidRPr="001743D6" w:rsidRDefault="001743D6" w:rsidP="001743D6">
      <w:pPr>
        <w:keepNext/>
        <w:spacing w:after="200" w:line="240" w:lineRule="auto"/>
        <w:rPr>
          <w:rFonts w:ascii="Segoe UI Semibold" w:eastAsia="Times New Roman" w:hAnsi="Segoe UI Semibold" w:cs="Times New Roman"/>
          <w:color w:val="016295"/>
        </w:rPr>
      </w:pPr>
      <w:r w:rsidRPr="001743D6">
        <w:rPr>
          <w:rFonts w:ascii="Segoe UI Semibold" w:eastAsia="Times New Roman" w:hAnsi="Segoe UI Semibold" w:cs="Times New Roman"/>
          <w:color w:val="016295"/>
        </w:rPr>
        <w:t xml:space="preserve">Table </w:t>
      </w:r>
      <w:r w:rsidRPr="001743D6">
        <w:rPr>
          <w:rFonts w:ascii="Segoe UI Semibold" w:eastAsia="Times New Roman" w:hAnsi="Segoe UI Semibold" w:cs="Times New Roman"/>
          <w:color w:val="016295"/>
        </w:rPr>
        <w:fldChar w:fldCharType="begin"/>
      </w:r>
      <w:r w:rsidRPr="001743D6">
        <w:rPr>
          <w:rFonts w:ascii="Segoe UI Semibold" w:eastAsia="Times New Roman" w:hAnsi="Segoe UI Semibold" w:cs="Times New Roman"/>
          <w:color w:val="016295"/>
        </w:rPr>
        <w:instrText xml:space="preserve"> SEQ Table \* ARABIC </w:instrText>
      </w:r>
      <w:r w:rsidRPr="001743D6">
        <w:rPr>
          <w:rFonts w:ascii="Segoe UI Semibold" w:eastAsia="Times New Roman" w:hAnsi="Segoe UI Semibold" w:cs="Times New Roman"/>
          <w:color w:val="016295"/>
        </w:rPr>
        <w:fldChar w:fldCharType="separate"/>
      </w:r>
      <w:r w:rsidRPr="001743D6">
        <w:rPr>
          <w:rFonts w:ascii="Segoe UI Semibold" w:eastAsia="Times New Roman" w:hAnsi="Segoe UI Semibold" w:cs="Times New Roman"/>
          <w:noProof/>
          <w:color w:val="016295"/>
        </w:rPr>
        <w:t>38</w:t>
      </w:r>
      <w:r w:rsidRPr="001743D6">
        <w:rPr>
          <w:rFonts w:ascii="Segoe UI Semibold" w:eastAsia="Times New Roman" w:hAnsi="Segoe UI Semibold" w:cs="Times New Roman"/>
          <w:noProof/>
          <w:color w:val="016295"/>
        </w:rPr>
        <w:fldChar w:fldCharType="end"/>
      </w:r>
      <w:r w:rsidRPr="001743D6">
        <w:rPr>
          <w:rFonts w:ascii="Segoe UI Semibold" w:eastAsia="Times New Roman" w:hAnsi="Segoe UI Semibold" w:cs="Times New Roman"/>
          <w:color w:val="016295"/>
        </w:rPr>
        <w:t>: DELWP’s seed holdings, eastern regions, September 2018</w:t>
      </w:r>
    </w:p>
    <w:p w:rsidR="001743D6" w:rsidRPr="001743D6" w:rsidRDefault="001743D6" w:rsidP="001743D6">
      <w:pPr>
        <w:rPr>
          <w:rFonts w:ascii="Segoe UI" w:hAnsi="Segoe UI" w:cs="Segoe UI"/>
        </w:rPr>
      </w:pPr>
      <w:r w:rsidRPr="001743D6">
        <w:rPr>
          <w:rFonts w:ascii="Segoe UI" w:hAnsi="Segoe UI" w:cs="Segoe UI"/>
          <w:noProof/>
          <w:lang w:eastAsia="en-AU"/>
        </w:rPr>
        <w:drawing>
          <wp:inline distT="0" distB="0" distL="0" distR="0" wp14:anchorId="2A45BD85" wp14:editId="508469F6">
            <wp:extent cx="5759450" cy="1643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val="0"/>
                        </a:ext>
                      </a:extLst>
                    </a:blip>
                    <a:stretch>
                      <a:fillRect/>
                    </a:stretch>
                  </pic:blipFill>
                  <pic:spPr>
                    <a:xfrm>
                      <a:off x="0" y="0"/>
                      <a:ext cx="5759450" cy="1643380"/>
                    </a:xfrm>
                    <a:prstGeom prst="rect">
                      <a:avLst/>
                    </a:prstGeom>
                  </pic:spPr>
                </pic:pic>
              </a:graphicData>
            </a:graphic>
          </wp:inline>
        </w:drawing>
      </w:r>
    </w:p>
    <w:p w:rsidR="001743D6" w:rsidRPr="003E70FC" w:rsidRDefault="001743D6" w:rsidP="003E70FC">
      <w:pPr>
        <w:pStyle w:val="ListParagraph"/>
        <w:numPr>
          <w:ilvl w:val="0"/>
          <w:numId w:val="50"/>
        </w:numPr>
        <w:ind w:left="709" w:hanging="567"/>
      </w:pPr>
      <w:r w:rsidRPr="003E70FC">
        <w:t>DELWP’s current Ash seed holdings are 2.1 tonnes MA and 1.9 tonnes AA = 4.0 tonnes total.</w:t>
      </w:r>
    </w:p>
    <w:p w:rsidR="001743D6" w:rsidRPr="003E70FC" w:rsidRDefault="001743D6" w:rsidP="003E70FC">
      <w:pPr>
        <w:pStyle w:val="ListParagraph"/>
        <w:numPr>
          <w:ilvl w:val="0"/>
          <w:numId w:val="50"/>
        </w:numPr>
        <w:ind w:left="709" w:hanging="567"/>
      </w:pPr>
      <w:r w:rsidRPr="003E70FC">
        <w:t>DELWP’s proposed Ash seed storage target of 14 tonnes = Milestone 2 + 2 additional tonnes.</w:t>
      </w:r>
    </w:p>
    <w:p w:rsidR="001743D6" w:rsidRPr="003E70FC" w:rsidRDefault="001743D6" w:rsidP="003E70FC">
      <w:pPr>
        <w:pStyle w:val="ListParagraph"/>
        <w:numPr>
          <w:ilvl w:val="0"/>
          <w:numId w:val="50"/>
        </w:numPr>
        <w:ind w:left="709" w:hanging="567"/>
      </w:pPr>
      <w:r w:rsidRPr="003E70FC">
        <w:t>Stocks of Messmate, Shining Gum and Cut-tail are required, and current stocks are insufficient.</w:t>
      </w:r>
    </w:p>
    <w:p w:rsidR="001743D6" w:rsidRPr="003E70FC" w:rsidRDefault="001743D6" w:rsidP="003E70FC">
      <w:pPr>
        <w:pStyle w:val="ListParagraph"/>
        <w:numPr>
          <w:ilvl w:val="0"/>
          <w:numId w:val="50"/>
        </w:numPr>
        <w:ind w:left="709" w:hanging="567"/>
      </w:pPr>
      <w:r w:rsidRPr="003E70FC">
        <w:t>Seed is stored at three locations. Laverton and Mansfield are the high-quality storage facilities.</w:t>
      </w:r>
    </w:p>
    <w:p w:rsidR="001743D6" w:rsidRPr="003E70FC" w:rsidRDefault="001743D6" w:rsidP="003E70FC">
      <w:pPr>
        <w:pStyle w:val="ListParagraph"/>
        <w:numPr>
          <w:ilvl w:val="0"/>
          <w:numId w:val="50"/>
        </w:numPr>
        <w:ind w:left="709" w:hanging="567"/>
      </w:pPr>
      <w:proofErr w:type="spellStart"/>
      <w:r w:rsidRPr="003E70FC">
        <w:t>VicForests</w:t>
      </w:r>
      <w:proofErr w:type="spellEnd"/>
      <w:r w:rsidRPr="003E70FC">
        <w:t>’ current Ash seed holdings are 2.1 tonnes MA and 4.5 tonnes AA = 6.6 tonnes total.</w:t>
      </w:r>
    </w:p>
    <w:p w:rsidR="001743D6" w:rsidRPr="003E70FC" w:rsidRDefault="001743D6" w:rsidP="003E70FC">
      <w:pPr>
        <w:pStyle w:val="ListParagraph"/>
        <w:numPr>
          <w:ilvl w:val="0"/>
          <w:numId w:val="50"/>
        </w:numPr>
        <w:ind w:left="709" w:hanging="567"/>
      </w:pPr>
      <w:r w:rsidRPr="003E70FC">
        <w:t>Total Victorian Ash current seed stocks = 4.0 + 6.6 = 10.6 tonnes, approaching Milestone 2.</w:t>
      </w:r>
    </w:p>
    <w:p w:rsidR="001743D6" w:rsidRPr="001743D6" w:rsidRDefault="001743D6" w:rsidP="001743D6">
      <w:pPr>
        <w:jc w:val="both"/>
        <w:rPr>
          <w:rFonts w:ascii="Segoe UI" w:hAnsi="Segoe UI" w:cs="Segoe UI"/>
        </w:rPr>
      </w:pPr>
      <w:r w:rsidRPr="001743D6">
        <w:rPr>
          <w:rFonts w:ascii="Segoe UI" w:hAnsi="Segoe UI" w:cs="Segoe UI"/>
        </w:rPr>
        <w:t xml:space="preserve">For non-Ash species, it is recommended DELWP maintains a store of 500 kilograms Messmate, and 200 kilograms each of Shining Gum, </w:t>
      </w:r>
      <w:proofErr w:type="spellStart"/>
      <w:r w:rsidRPr="001743D6">
        <w:rPr>
          <w:rFonts w:ascii="Segoe UI" w:hAnsi="Segoe UI" w:cs="Segoe UI"/>
        </w:rPr>
        <w:t>Errinundra</w:t>
      </w:r>
      <w:proofErr w:type="spellEnd"/>
      <w:r w:rsidRPr="001743D6">
        <w:rPr>
          <w:rFonts w:ascii="Segoe UI" w:hAnsi="Segoe UI" w:cs="Segoe UI"/>
        </w:rPr>
        <w:t xml:space="preserve"> Shining Gum and Cut-tail.</w:t>
      </w:r>
    </w:p>
    <w:p w:rsidR="00F83A6A" w:rsidRPr="001743D6" w:rsidRDefault="00F83A6A">
      <w:pPr>
        <w:rPr>
          <w:rFonts w:ascii="Segoe UI" w:hAnsi="Segoe UI" w:cs="Segoe UI"/>
          <w:b/>
          <w:color w:val="0074A1"/>
          <w:sz w:val="28"/>
          <w:szCs w:val="28"/>
        </w:rPr>
      </w:pPr>
    </w:p>
    <w:sectPr w:rsidR="00F83A6A" w:rsidRPr="001743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6FDE" w:rsidRDefault="00D06FDE" w:rsidP="001743D6">
      <w:pPr>
        <w:spacing w:after="0" w:line="240" w:lineRule="auto"/>
      </w:pPr>
      <w:r>
        <w:separator/>
      </w:r>
    </w:p>
  </w:endnote>
  <w:endnote w:type="continuationSeparator" w:id="0">
    <w:p w:rsidR="00D06FDE" w:rsidRDefault="00D06FDE" w:rsidP="00174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Gill Sans MT">
    <w:altName w:val="Segoe UI"/>
    <w:panose1 w:val="020B0502020104020203"/>
    <w:charset w:val="00"/>
    <w:family w:val="swiss"/>
    <w:pitch w:val="variable"/>
    <w:sig w:usb0="00000007" w:usb1="00000000" w:usb2="00000000" w:usb3="00000000" w:csb0="00000003" w:csb1="00000000"/>
  </w:font>
  <w:font w:name="Microsoft JhengHei UI Light">
    <w:panose1 w:val="020B0304030504040204"/>
    <w:charset w:val="88"/>
    <w:family w:val="swiss"/>
    <w:pitch w:val="variable"/>
    <w:sig w:usb0="800002A7" w:usb1="28CF4400" w:usb2="00000016" w:usb3="00000000" w:csb0="00100009"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nivers 55">
    <w:altName w:val="Calibri"/>
    <w:panose1 w:val="00000000000000000000"/>
    <w:charset w:val="00"/>
    <w:family w:val="swiss"/>
    <w:notTrueType/>
    <w:pitch w:val="default"/>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FS Me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hiller">
    <w:panose1 w:val="04020404031007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08945"/>
      <w:docPartObj>
        <w:docPartGallery w:val="Page Numbers (Bottom of Page)"/>
        <w:docPartUnique/>
      </w:docPartObj>
    </w:sdtPr>
    <w:sdtEndPr>
      <w:rPr>
        <w:noProof/>
        <w:sz w:val="20"/>
        <w:szCs w:val="20"/>
      </w:rPr>
    </w:sdtEndPr>
    <w:sdtContent>
      <w:p w:rsidR="00D06FDE" w:rsidRDefault="00D06FDE" w:rsidP="00D06FDE">
        <w:pPr>
          <w:pStyle w:val="Footer"/>
          <w:jc w:val="center"/>
        </w:pPr>
        <w:r>
          <w:fldChar w:fldCharType="begin"/>
        </w:r>
        <w:r>
          <w:instrText xml:space="preserve"> PAGE   \* MERGEFORMAT </w:instrText>
        </w:r>
        <w:r>
          <w:fldChar w:fldCharType="separate"/>
        </w:r>
        <w:r>
          <w:rPr>
            <w:noProof/>
          </w:rPr>
          <w:t>154</w:t>
        </w:r>
        <w:r>
          <w:rPr>
            <w:noProof/>
          </w:rPr>
          <w:fldChar w:fldCharType="end"/>
        </w:r>
      </w:p>
    </w:sdtContent>
  </w:sdt>
  <w:p w:rsidR="00D06FDE" w:rsidRDefault="00D06FDE" w:rsidP="00D06FDE">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6FDE" w:rsidRDefault="00D06FDE" w:rsidP="001743D6">
      <w:pPr>
        <w:spacing w:after="0" w:line="240" w:lineRule="auto"/>
      </w:pPr>
      <w:r>
        <w:separator/>
      </w:r>
    </w:p>
  </w:footnote>
  <w:footnote w:type="continuationSeparator" w:id="0">
    <w:p w:rsidR="00D06FDE" w:rsidRDefault="00D06FDE" w:rsidP="001743D6">
      <w:pPr>
        <w:spacing w:after="0" w:line="240" w:lineRule="auto"/>
      </w:pPr>
      <w:r>
        <w:continuationSeparator/>
      </w:r>
    </w:p>
  </w:footnote>
  <w:footnote w:id="1">
    <w:p w:rsidR="00D06FDE" w:rsidRPr="00E63B74" w:rsidRDefault="00D06FDE" w:rsidP="001743D6">
      <w:pPr>
        <w:pStyle w:val="xFootnotes"/>
      </w:pPr>
      <w:r w:rsidRPr="00E63B74">
        <w:footnoteRef/>
      </w:r>
      <w:r w:rsidRPr="00327AEA">
        <w:t xml:space="preserve"> </w:t>
      </w:r>
      <w:r>
        <w:tab/>
      </w:r>
      <w:r w:rsidRPr="00327AEA">
        <w:t xml:space="preserve">See </w:t>
      </w:r>
      <w:hyperlink r:id="rId1" w:history="1">
        <w:r w:rsidRPr="00E63B74">
          <w:rPr>
            <w:rStyle w:val="Hyperlink"/>
          </w:rPr>
          <w:t>agriculture.gov.au/abares/forestsaustralia/sofr</w:t>
        </w:r>
      </w:hyperlink>
    </w:p>
  </w:footnote>
  <w:footnote w:id="2">
    <w:p w:rsidR="00D06FDE" w:rsidRPr="000B53A2" w:rsidRDefault="00D06FDE" w:rsidP="001743D6">
      <w:pPr>
        <w:pStyle w:val="xFootnotes"/>
      </w:pPr>
      <w:r w:rsidRPr="00E63B74">
        <w:footnoteRef/>
      </w:r>
      <w:r w:rsidRPr="000B53A2">
        <w:t xml:space="preserve"> </w:t>
      </w:r>
      <w:r w:rsidRPr="000B53A2">
        <w:tab/>
        <w:t xml:space="preserve">See </w:t>
      </w:r>
      <w:hyperlink r:id="rId2" w:history="1">
        <w:r w:rsidRPr="00E63B74">
          <w:rPr>
            <w:rStyle w:val="Hyperlink"/>
            <w:color w:val="auto"/>
          </w:rPr>
          <w:t>agriculture.gov.au/abares/forestsaustralia/Pages/forest-cover.aspx</w:t>
        </w:r>
      </w:hyperlink>
    </w:p>
  </w:footnote>
  <w:footnote w:id="3">
    <w:p w:rsidR="00D06FDE" w:rsidRPr="00026D60" w:rsidRDefault="00D06FDE" w:rsidP="001743D6">
      <w:pPr>
        <w:pStyle w:val="xFootnotes"/>
      </w:pPr>
      <w:r w:rsidRPr="00E63B74">
        <w:footnoteRef/>
      </w:r>
      <w:r>
        <w:t xml:space="preserve"> </w:t>
      </w:r>
      <w:r>
        <w:tab/>
        <w:t xml:space="preserve">See </w:t>
      </w:r>
      <w:hyperlink r:id="rId3" w:history="1">
        <w:r>
          <w:rPr>
            <w:rStyle w:val="Hyperlink"/>
          </w:rPr>
          <w:t>https://apo.org.au/sites/default/files/resource-files/2013/01/apo-nid155511-1212976.pdf</w:t>
        </w:r>
      </w:hyperlink>
    </w:p>
  </w:footnote>
  <w:footnote w:id="4">
    <w:p w:rsidR="00D06FDE" w:rsidRDefault="00D06FDE" w:rsidP="001743D6">
      <w:pPr>
        <w:pStyle w:val="FootnoteText"/>
      </w:pPr>
      <w:r>
        <w:rPr>
          <w:rStyle w:val="FootnoteReference"/>
        </w:rPr>
        <w:footnoteRef/>
      </w:r>
      <w:r>
        <w:t xml:space="preserve"> Forest structure and dominant species </w:t>
      </w:r>
    </w:p>
  </w:footnote>
  <w:footnote w:id="5">
    <w:p w:rsidR="00D06FDE" w:rsidRPr="00FA09D7" w:rsidRDefault="00D06FDE" w:rsidP="001743D6">
      <w:pPr>
        <w:pStyle w:val="xFootnotes"/>
      </w:pPr>
      <w:r w:rsidRPr="00E63B74">
        <w:footnoteRef/>
      </w:r>
      <w:r w:rsidRPr="00FA09D7">
        <w:t xml:space="preserve"> </w:t>
      </w:r>
      <w:r>
        <w:tab/>
        <w:t xml:space="preserve">See </w:t>
      </w:r>
      <w:hyperlink r:id="rId4" w:history="1">
        <w:r w:rsidRPr="00E63B74">
          <w:rPr>
            <w:rStyle w:val="Hyperlink"/>
          </w:rPr>
          <w:t>http://maps.biodiversity.vic.gov.au/viewer/?viewer=NatureKit</w:t>
        </w:r>
      </w:hyperlink>
      <w:r w:rsidRPr="00FA09D7">
        <w:t xml:space="preserve"> </w:t>
      </w:r>
    </w:p>
  </w:footnote>
  <w:footnote w:id="6">
    <w:p w:rsidR="00D06FDE" w:rsidRPr="00286937" w:rsidRDefault="00D06FDE" w:rsidP="001743D6">
      <w:pPr>
        <w:pStyle w:val="xFootnotes"/>
      </w:pPr>
      <w:r w:rsidRPr="00E63B74">
        <w:footnoteRef/>
      </w:r>
      <w:r w:rsidRPr="00286937">
        <w:t xml:space="preserve"> </w:t>
      </w:r>
      <w:r>
        <w:tab/>
      </w:r>
      <w:bookmarkStart w:id="24" w:name="_Hlk11410270"/>
      <w:r w:rsidRPr="00286937">
        <w:t xml:space="preserve">Further information on the CRA forest ecosystems classification and mapping projects for the Victorian RFA regions can be found at </w:t>
      </w:r>
      <w:bookmarkEnd w:id="24"/>
      <w:r>
        <w:t>.</w:t>
      </w:r>
    </w:p>
  </w:footnote>
  <w:footnote w:id="7">
    <w:p w:rsidR="00D06FDE" w:rsidRPr="009B630D" w:rsidRDefault="00D06FDE" w:rsidP="001743D6">
      <w:pPr>
        <w:pStyle w:val="FootnoteText"/>
        <w:rPr>
          <w:szCs w:val="18"/>
        </w:rPr>
      </w:pPr>
      <w:r w:rsidRPr="006A1174">
        <w:rPr>
          <w:rStyle w:val="FootnoteReference"/>
          <w:sz w:val="16"/>
          <w:szCs w:val="16"/>
        </w:rPr>
        <w:footnoteRef/>
      </w:r>
      <w:r w:rsidRPr="006A1174">
        <w:rPr>
          <w:sz w:val="16"/>
          <w:szCs w:val="16"/>
        </w:rPr>
        <w:t xml:space="preserve"> ‘Habitat hectares’ is a method for assessing native vegetation, in terms of both quality and extent. Quality is assessed by scoring habitat attributes at a site in comparison to a reference point (benchmark) for the relevant vegetation type - this provides a ‘habitat score’. The number of habitat hectares of a stand of native vegetation is determined by multiplying the score by the area of vegetation. For example, 10 hectares with a habitat score of 100 </w:t>
      </w:r>
      <w:r>
        <w:rPr>
          <w:sz w:val="16"/>
          <w:szCs w:val="16"/>
        </w:rPr>
        <w:t>per</w:t>
      </w:r>
      <w:r w:rsidRPr="006A1174">
        <w:rPr>
          <w:sz w:val="16"/>
          <w:szCs w:val="16"/>
        </w:rPr>
        <w:t xml:space="preserve"> cent is counted as 10 ‘habitat hectares’, whereas 10 hectares of vegetation with a score’ of 50 </w:t>
      </w:r>
      <w:r>
        <w:rPr>
          <w:sz w:val="16"/>
          <w:szCs w:val="16"/>
        </w:rPr>
        <w:t>per</w:t>
      </w:r>
      <w:r w:rsidRPr="006A1174">
        <w:rPr>
          <w:sz w:val="16"/>
          <w:szCs w:val="16"/>
        </w:rPr>
        <w:t xml:space="preserve"> cent would be scored as five ‘habitat hectares’</w:t>
      </w:r>
    </w:p>
  </w:footnote>
  <w:footnote w:id="8">
    <w:p w:rsidR="00D06FDE" w:rsidRPr="001676EE" w:rsidRDefault="00D06FDE" w:rsidP="001743D6">
      <w:pPr>
        <w:pStyle w:val="xFootnotes"/>
      </w:pPr>
      <w:r w:rsidRPr="00E63B74">
        <w:footnoteRef/>
      </w:r>
      <w:r w:rsidRPr="001676EE">
        <w:t xml:space="preserve"> </w:t>
      </w:r>
      <w:r>
        <w:tab/>
      </w:r>
      <w:r w:rsidRPr="001676EE">
        <w:t xml:space="preserve">See </w:t>
      </w:r>
      <w:hyperlink r:id="rId5" w:history="1">
        <w:r w:rsidRPr="001676EE">
          <w:rPr>
            <w:rStyle w:val="Hyperlink"/>
          </w:rPr>
          <w:t>http://maps.biodiversity.vic.gov.au/viewer/?viewer=NatureKit</w:t>
        </w:r>
      </w:hyperlink>
      <w:r w:rsidRPr="001676EE">
        <w:t xml:space="preserve"> </w:t>
      </w:r>
    </w:p>
  </w:footnote>
  <w:footnote w:id="9">
    <w:p w:rsidR="00D06FDE" w:rsidRPr="00151F99" w:rsidRDefault="00D06FDE" w:rsidP="001743D6">
      <w:pPr>
        <w:pStyle w:val="xFootnotes"/>
      </w:pPr>
      <w:r w:rsidRPr="00E63B74">
        <w:footnoteRef/>
      </w:r>
      <w:r w:rsidRPr="00151F99">
        <w:t xml:space="preserve"> </w:t>
      </w:r>
      <w:r>
        <w:tab/>
      </w:r>
      <w:r w:rsidRPr="00151F99">
        <w:t xml:space="preserve">See </w:t>
      </w:r>
      <w:hyperlink r:id="rId6" w:history="1">
        <w:r w:rsidRPr="00151F99">
          <w:rPr>
            <w:rStyle w:val="Hyperlink"/>
          </w:rPr>
          <w:t>https://www.environment.vic.gov.au/biodiversity/biodiversity-response-planning</w:t>
        </w:r>
      </w:hyperlink>
      <w:r w:rsidRPr="00151F9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FDE" w:rsidRPr="000B3716" w:rsidRDefault="00D06FDE" w:rsidP="00D06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FDE" w:rsidRDefault="00D06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FB6848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37482A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1007D6E"/>
    <w:lvl w:ilvl="0">
      <w:start w:val="1"/>
      <w:numFmt w:val="decimal"/>
      <w:pStyle w:val="ListNumber"/>
      <w:lvlText w:val="%1."/>
      <w:lvlJc w:val="left"/>
      <w:pPr>
        <w:tabs>
          <w:tab w:val="num" w:pos="360"/>
        </w:tabs>
        <w:ind w:left="360" w:hanging="360"/>
      </w:pPr>
    </w:lvl>
  </w:abstractNum>
  <w:abstractNum w:abstractNumId="4" w15:restartNumberingAfterBreak="0">
    <w:nsid w:val="FFFFFFFE"/>
    <w:multiLevelType w:val="singleLevel"/>
    <w:tmpl w:val="FFFFFFFF"/>
    <w:lvl w:ilvl="0">
      <w:numFmt w:val="decimal"/>
      <w:pStyle w:val="lastdot"/>
      <w:lvlText w:val="*"/>
      <w:lvlJc w:val="left"/>
    </w:lvl>
  </w:abstractNum>
  <w:abstractNum w:abstractNumId="5" w15:restartNumberingAfterBreak="0">
    <w:nsid w:val="05B11964"/>
    <w:multiLevelType w:val="hybridMultilevel"/>
    <w:tmpl w:val="9056ABA6"/>
    <w:lvl w:ilvl="0" w:tplc="A378D160">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6" w15:restartNumberingAfterBreak="0">
    <w:nsid w:val="06E51DBD"/>
    <w:multiLevelType w:val="multilevel"/>
    <w:tmpl w:val="46C45934"/>
    <w:styleLink w:val="NRCListBullets"/>
    <w:lvl w:ilvl="0">
      <w:start w:val="1"/>
      <w:numFmt w:val="bullet"/>
      <w:pStyle w:val="Bullets"/>
      <w:lvlText w:val=""/>
      <w:lvlJc w:val="left"/>
      <w:pPr>
        <w:tabs>
          <w:tab w:val="num" w:pos="567"/>
        </w:tabs>
        <w:ind w:left="567" w:hanging="567"/>
      </w:pPr>
      <w:rPr>
        <w:rFonts w:ascii="Wingdings" w:hAnsi="Wingdings" w:hint="default"/>
        <w:sz w:val="20"/>
      </w:rPr>
    </w:lvl>
    <w:lvl w:ilvl="1">
      <w:start w:val="1"/>
      <w:numFmt w:val="bullet"/>
      <w:lvlText w:val="-"/>
      <w:lvlJc w:val="left"/>
      <w:pPr>
        <w:tabs>
          <w:tab w:val="num" w:pos="1134"/>
        </w:tabs>
        <w:ind w:left="1134" w:hanging="567"/>
      </w:pPr>
      <w:rPr>
        <w:rFonts w:ascii="Arial" w:hAnsi="Arial" w:hint="default"/>
      </w:rPr>
    </w:lvl>
    <w:lvl w:ilvl="2">
      <w:start w:val="1"/>
      <w:numFmt w:val="bullet"/>
      <w:lvlText w:val=""/>
      <w:lvlJc w:val="left"/>
      <w:pPr>
        <w:tabs>
          <w:tab w:val="num" w:pos="1701"/>
        </w:tabs>
        <w:ind w:left="1701" w:hanging="567"/>
      </w:pPr>
      <w:rPr>
        <w:rFonts w:ascii="Symbol" w:hAnsi="Symbol" w:hint="default"/>
        <w:color w:val="auto"/>
        <w:sz w:val="18"/>
      </w:rPr>
    </w:lvl>
    <w:lvl w:ilvl="3">
      <w:start w:val="1"/>
      <w:numFmt w:val="none"/>
      <w:lvlText w:val=""/>
      <w:lvlJc w:val="left"/>
      <w:pPr>
        <w:tabs>
          <w:tab w:val="num" w:pos="2268"/>
        </w:tabs>
        <w:ind w:left="1701" w:hanging="567"/>
      </w:pPr>
      <w:rPr>
        <w:rFonts w:hint="default"/>
      </w:rPr>
    </w:lvl>
    <w:lvl w:ilvl="4">
      <w:start w:val="1"/>
      <w:numFmt w:val="none"/>
      <w:lvlText w:val=""/>
      <w:lvlJc w:val="left"/>
      <w:pPr>
        <w:tabs>
          <w:tab w:val="num" w:pos="2835"/>
        </w:tabs>
        <w:ind w:left="1701" w:hanging="567"/>
      </w:pPr>
      <w:rPr>
        <w:rFonts w:hint="default"/>
      </w:rPr>
    </w:lvl>
    <w:lvl w:ilvl="5">
      <w:start w:val="1"/>
      <w:numFmt w:val="none"/>
      <w:lvlText w:val=""/>
      <w:lvlJc w:val="left"/>
      <w:pPr>
        <w:tabs>
          <w:tab w:val="num" w:pos="3402"/>
        </w:tabs>
        <w:ind w:left="1701" w:hanging="567"/>
      </w:pPr>
      <w:rPr>
        <w:rFonts w:hint="default"/>
      </w:rPr>
    </w:lvl>
    <w:lvl w:ilvl="6">
      <w:start w:val="1"/>
      <w:numFmt w:val="none"/>
      <w:lvlText w:val=""/>
      <w:lvlJc w:val="left"/>
      <w:pPr>
        <w:tabs>
          <w:tab w:val="num" w:pos="3969"/>
        </w:tabs>
        <w:ind w:left="1701" w:hanging="567"/>
      </w:pPr>
      <w:rPr>
        <w:rFonts w:hint="default"/>
      </w:rPr>
    </w:lvl>
    <w:lvl w:ilvl="7">
      <w:start w:val="1"/>
      <w:numFmt w:val="none"/>
      <w:lvlText w:val=""/>
      <w:lvlJc w:val="left"/>
      <w:pPr>
        <w:tabs>
          <w:tab w:val="num" w:pos="4536"/>
        </w:tabs>
        <w:ind w:left="1701" w:hanging="567"/>
      </w:pPr>
      <w:rPr>
        <w:rFonts w:hint="default"/>
      </w:rPr>
    </w:lvl>
    <w:lvl w:ilvl="8">
      <w:start w:val="1"/>
      <w:numFmt w:val="none"/>
      <w:lvlText w:val=""/>
      <w:lvlJc w:val="left"/>
      <w:pPr>
        <w:tabs>
          <w:tab w:val="num" w:pos="5103"/>
        </w:tabs>
        <w:ind w:left="1701" w:hanging="567"/>
      </w:pPr>
      <w:rPr>
        <w:rFonts w:hint="default"/>
      </w:rPr>
    </w:lvl>
  </w:abstractNum>
  <w:abstractNum w:abstractNumId="7" w15:restartNumberingAfterBreak="0">
    <w:nsid w:val="082A7238"/>
    <w:multiLevelType w:val="hybridMultilevel"/>
    <w:tmpl w:val="3EF471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BFE4AF0"/>
    <w:multiLevelType w:val="hybridMultilevel"/>
    <w:tmpl w:val="60BC8B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CA078E7"/>
    <w:multiLevelType w:val="hybridMultilevel"/>
    <w:tmpl w:val="D0D2B796"/>
    <w:lvl w:ilvl="0" w:tplc="AC90C0DE">
      <w:start w:val="1"/>
      <w:numFmt w:val="lowerLetter"/>
      <w:pStyle w:val="xNumberedlista"/>
      <w:lvlText w:val="%1."/>
      <w:lvlJc w:val="left"/>
      <w:pPr>
        <w:ind w:left="885" w:hanging="5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13EC090A"/>
    <w:multiLevelType w:val="hybridMultilevel"/>
    <w:tmpl w:val="088ADDE4"/>
    <w:lvl w:ilvl="0" w:tplc="D570D40A">
      <w:start w:val="1"/>
      <w:numFmt w:val="decimal"/>
      <w:pStyle w:val="Appendix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BB5869"/>
    <w:multiLevelType w:val="hybridMultilevel"/>
    <w:tmpl w:val="0ABE80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8482CCA"/>
    <w:multiLevelType w:val="hybridMultilevel"/>
    <w:tmpl w:val="0CDA5240"/>
    <w:styleLink w:val="ListNumbers"/>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192584"/>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pStyle w:val="FooterBanner"/>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26373ED0"/>
    <w:multiLevelType w:val="hybridMultilevel"/>
    <w:tmpl w:val="05DE50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2D1C56DE"/>
    <w:multiLevelType w:val="singleLevel"/>
    <w:tmpl w:val="94805B1A"/>
    <w:lvl w:ilvl="0">
      <w:start w:val="1"/>
      <w:numFmt w:val="decimal"/>
      <w:pStyle w:val="number"/>
      <w:lvlText w:val="%1."/>
      <w:lvlJc w:val="left"/>
      <w:pPr>
        <w:tabs>
          <w:tab w:val="num" w:pos="360"/>
        </w:tabs>
        <w:ind w:left="360" w:hanging="360"/>
      </w:pPr>
      <w:rPr>
        <w:b w:val="0"/>
        <w:i w:val="0"/>
      </w:rPr>
    </w:lvl>
  </w:abstractNum>
  <w:abstractNum w:abstractNumId="23" w15:restartNumberingAfterBreak="0">
    <w:nsid w:val="2DB2489A"/>
    <w:multiLevelType w:val="hybridMultilevel"/>
    <w:tmpl w:val="01EC14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9267B9"/>
    <w:multiLevelType w:val="hybridMultilevel"/>
    <w:tmpl w:val="FE28EE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CA308A8"/>
    <w:multiLevelType w:val="singleLevel"/>
    <w:tmpl w:val="E4BC7D12"/>
    <w:lvl w:ilvl="0">
      <w:start w:val="1"/>
      <w:numFmt w:val="bullet"/>
      <w:pStyle w:val="Doubledot"/>
      <w:lvlText w:val="·"/>
      <w:lvlJc w:val="left"/>
      <w:pPr>
        <w:tabs>
          <w:tab w:val="num" w:pos="1276"/>
        </w:tabs>
        <w:ind w:left="1276" w:hanging="425"/>
      </w:pPr>
      <w:rPr>
        <w:rFonts w:ascii="Times New Roman" w:hAnsi="Times New Roman" w:hint="default"/>
      </w:rPr>
    </w:lvl>
  </w:abstractNum>
  <w:abstractNum w:abstractNumId="27" w15:restartNumberingAfterBreak="0">
    <w:nsid w:val="3CFD75B0"/>
    <w:multiLevelType w:val="hybridMultilevel"/>
    <w:tmpl w:val="CD18CCE8"/>
    <w:styleLink w:val="1ai"/>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CA2508"/>
    <w:multiLevelType w:val="hybridMultilevel"/>
    <w:tmpl w:val="BD54CE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A31C8C"/>
    <w:multiLevelType w:val="singleLevel"/>
    <w:tmpl w:val="BC5E0738"/>
    <w:lvl w:ilvl="0">
      <w:start w:val="1"/>
      <w:numFmt w:val="decimal"/>
      <w:pStyle w:val="attachpara"/>
      <w:lvlText w:val="%1."/>
      <w:lvlJc w:val="left"/>
      <w:pPr>
        <w:tabs>
          <w:tab w:val="num" w:pos="360"/>
        </w:tabs>
        <w:ind w:left="0" w:firstLine="0"/>
      </w:pPr>
      <w:rPr>
        <w:rFonts w:ascii="Times New Roman" w:hAnsi="Times New Roman" w:hint="default"/>
        <w:b w:val="0"/>
        <w:i w:val="0"/>
        <w:sz w:val="24"/>
      </w:rPr>
    </w:lvl>
  </w:abstractNum>
  <w:abstractNum w:abstractNumId="32" w15:restartNumberingAfterBreak="0">
    <w:nsid w:val="4D545EC4"/>
    <w:multiLevelType w:val="multilevel"/>
    <w:tmpl w:val="5F329C6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4E7D5687"/>
    <w:multiLevelType w:val="hybridMultilevel"/>
    <w:tmpl w:val="E4D41564"/>
    <w:lvl w:ilvl="0" w:tplc="12BE7190">
      <w:start w:val="1"/>
      <w:numFmt w:val="bullet"/>
      <w:pStyle w:val="x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B51355"/>
    <w:multiLevelType w:val="singleLevel"/>
    <w:tmpl w:val="02E8FD72"/>
    <w:lvl w:ilvl="0">
      <w:start w:val="1"/>
      <w:numFmt w:val="bullet"/>
      <w:pStyle w:val="dotpoint"/>
      <w:lvlText w:val=""/>
      <w:lvlJc w:val="left"/>
      <w:pPr>
        <w:tabs>
          <w:tab w:val="num" w:pos="360"/>
        </w:tabs>
        <w:ind w:left="360" w:hanging="360"/>
      </w:pPr>
      <w:rPr>
        <w:rFonts w:ascii="Symbol" w:hAnsi="Symbol" w:hint="default"/>
      </w:rPr>
    </w:lvl>
  </w:abstractNum>
  <w:abstractNum w:abstractNumId="35" w15:restartNumberingAfterBreak="0">
    <w:nsid w:val="53CD3257"/>
    <w:multiLevelType w:val="hybridMultilevel"/>
    <w:tmpl w:val="CA34AE3C"/>
    <w:styleLink w:val="Appendix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D049B6"/>
    <w:multiLevelType w:val="singleLevel"/>
    <w:tmpl w:val="F9B42AA8"/>
    <w:lvl w:ilvl="0">
      <w:start w:val="1"/>
      <w:numFmt w:val="bullet"/>
      <w:pStyle w:val="Dash"/>
      <w:lvlText w:val=""/>
      <w:lvlJc w:val="left"/>
      <w:pPr>
        <w:tabs>
          <w:tab w:val="num" w:pos="360"/>
        </w:tabs>
        <w:ind w:left="360" w:hanging="360"/>
      </w:pPr>
      <w:rPr>
        <w:rFonts w:ascii="Symbol" w:hAnsi="Symbol" w:hint="default"/>
      </w:rPr>
    </w:lvl>
  </w:abstractNum>
  <w:abstractNum w:abstractNumId="37" w15:restartNumberingAfterBreak="0">
    <w:nsid w:val="5A3B4AB9"/>
    <w:multiLevelType w:val="hybridMultilevel"/>
    <w:tmpl w:val="29B6850C"/>
    <w:lvl w:ilvl="0" w:tplc="FFFFFFFF">
      <w:start w:val="1"/>
      <w:numFmt w:val="decimal"/>
      <w:pStyle w:val="SO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F51EC7"/>
    <w:multiLevelType w:val="hybridMultilevel"/>
    <w:tmpl w:val="1266582C"/>
    <w:styleLink w:val="Headings"/>
    <w:lvl w:ilvl="0" w:tplc="277E828C">
      <w:start w:val="1"/>
      <w:numFmt w:val="bullet"/>
      <w:pStyle w:val="xQuote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9"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5E8A234A"/>
    <w:multiLevelType w:val="hybridMultilevel"/>
    <w:tmpl w:val="14BCB45E"/>
    <w:styleLink w:val="List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D9007C"/>
    <w:multiLevelType w:val="hybridMultilevel"/>
    <w:tmpl w:val="A58452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25A66AF"/>
    <w:multiLevelType w:val="multilevel"/>
    <w:tmpl w:val="6EAA0306"/>
    <w:lvl w:ilvl="0">
      <w:start w:val="1"/>
      <w:numFmt w:val="upperLetter"/>
      <w:pStyle w:val="rfa1"/>
      <w:lvlText w:val="%1"/>
      <w:lvlJc w:val="left"/>
      <w:pPr>
        <w:tabs>
          <w:tab w:val="num" w:pos="360"/>
        </w:tabs>
        <w:ind w:left="0" w:firstLine="0"/>
      </w:pPr>
    </w:lvl>
    <w:lvl w:ilvl="1">
      <w:start w:val="1"/>
      <w:numFmt w:val="bullet"/>
      <w:pStyle w:val="rfa2"/>
      <w:lvlText w:val=""/>
      <w:lvlJc w:val="left"/>
      <w:pPr>
        <w:tabs>
          <w:tab w:val="num" w:pos="567"/>
        </w:tabs>
        <w:ind w:left="567" w:hanging="567"/>
      </w:pPr>
      <w:rPr>
        <w:rFonts w:ascii="Symbol" w:hAnsi="Symbol" w:hint="default"/>
      </w:rPr>
    </w:lvl>
    <w:lvl w:ilvl="2">
      <w:start w:val="1"/>
      <w:numFmt w:val="lowerLetter"/>
      <w:lvlRestart w:val="0"/>
      <w:pStyle w:val="rfa3"/>
      <w:lvlText w:val="(%3)"/>
      <w:lvlJc w:val="left"/>
      <w:pPr>
        <w:tabs>
          <w:tab w:val="num" w:pos="1134"/>
        </w:tabs>
        <w:ind w:left="1134" w:hanging="567"/>
      </w:pPr>
    </w:lvl>
    <w:lvl w:ilvl="3">
      <w:start w:val="1"/>
      <w:numFmt w:val="decimal"/>
      <w:lvlRestart w:val="0"/>
      <w:pStyle w:val="rfa4"/>
      <w:lvlText w:val="%4."/>
      <w:lvlJc w:val="left"/>
      <w:pPr>
        <w:tabs>
          <w:tab w:val="num" w:pos="360"/>
        </w:tabs>
        <w:ind w:left="0" w:firstLine="0"/>
      </w:pPr>
    </w:lvl>
    <w:lvl w:ilvl="4">
      <w:start w:val="1"/>
      <w:numFmt w:val="none"/>
      <w:pStyle w:val="rfa5"/>
      <w:lvlText w:val=""/>
      <w:lvlJc w:val="left"/>
      <w:pPr>
        <w:tabs>
          <w:tab w:val="num" w:pos="567"/>
        </w:tabs>
        <w:ind w:left="567" w:hanging="567"/>
      </w:pPr>
    </w:lvl>
    <w:lvl w:ilvl="5">
      <w:start w:val="1"/>
      <w:numFmt w:val="lowerLetter"/>
      <w:pStyle w:val="rfa6"/>
      <w:lvlText w:val="(%6)"/>
      <w:lvlJc w:val="left"/>
      <w:pPr>
        <w:tabs>
          <w:tab w:val="num" w:pos="567"/>
        </w:tabs>
        <w:ind w:left="567" w:hanging="567"/>
      </w:pPr>
    </w:lvl>
    <w:lvl w:ilvl="6">
      <w:start w:val="1"/>
      <w:numFmt w:val="decimal"/>
      <w:lvlRestart w:val="0"/>
      <w:pStyle w:val="rfa7"/>
      <w:lvlText w:val="%4.%7."/>
      <w:lvlJc w:val="left"/>
      <w:pPr>
        <w:tabs>
          <w:tab w:val="num" w:pos="360"/>
        </w:tabs>
        <w:ind w:left="0" w:firstLine="0"/>
      </w:pPr>
    </w:lvl>
    <w:lvl w:ilvl="7">
      <w:start w:val="1"/>
      <w:numFmt w:val="lowerRoman"/>
      <w:pStyle w:val="rfa8"/>
      <w:lvlText w:val="(%8)"/>
      <w:lvlJc w:val="left"/>
      <w:pPr>
        <w:tabs>
          <w:tab w:val="num" w:pos="1287"/>
        </w:tabs>
        <w:ind w:left="1134" w:hanging="567"/>
      </w:pPr>
    </w:lvl>
    <w:lvl w:ilvl="8">
      <w:start w:val="1"/>
      <w:numFmt w:val="decimal"/>
      <w:pStyle w:val="rfa9"/>
      <w:lvlText w:val="(%9)"/>
      <w:lvlJc w:val="left"/>
      <w:pPr>
        <w:tabs>
          <w:tab w:val="num" w:pos="1701"/>
        </w:tabs>
        <w:ind w:left="1701" w:hanging="567"/>
      </w:pPr>
    </w:lvl>
  </w:abstractNum>
  <w:abstractNum w:abstractNumId="43" w15:restartNumberingAfterBreak="0">
    <w:nsid w:val="68B52B2A"/>
    <w:multiLevelType w:val="hybridMultilevel"/>
    <w:tmpl w:val="449EB9F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6C0C490C"/>
    <w:multiLevelType w:val="hybridMultilevel"/>
    <w:tmpl w:val="E2FA56EA"/>
    <w:lvl w:ilvl="0" w:tplc="B8CAAA3C">
      <w:start w:val="1"/>
      <w:numFmt w:val="bullet"/>
      <w:pStyle w:val="SOELis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6E9C3611"/>
    <w:multiLevelType w:val="hybridMultilevel"/>
    <w:tmpl w:val="B8FE74B2"/>
    <w:styleLink w:val="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1FC258F"/>
    <w:multiLevelType w:val="hybridMultilevel"/>
    <w:tmpl w:val="4A287024"/>
    <w:styleLink w:val="Appendix"/>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2"/>
  </w:num>
  <w:num w:numId="3">
    <w:abstractNumId w:val="2"/>
  </w:num>
  <w:num w:numId="4">
    <w:abstractNumId w:val="3"/>
  </w:num>
  <w:num w:numId="5">
    <w:abstractNumId w:val="6"/>
  </w:num>
  <w:num w:numId="6">
    <w:abstractNumId w:val="44"/>
  </w:num>
  <w:num w:numId="7">
    <w:abstractNumId w:val="37"/>
  </w:num>
  <w:num w:numId="8">
    <w:abstractNumId w:val="1"/>
  </w:num>
  <w:num w:numId="9">
    <w:abstractNumId w:val="30"/>
  </w:num>
  <w:num w:numId="10">
    <w:abstractNumId w:val="17"/>
  </w:num>
  <w:num w:numId="11">
    <w:abstractNumId w:val="18"/>
  </w:num>
  <w:num w:numId="12">
    <w:abstractNumId w:val="0"/>
  </w:num>
  <w:num w:numId="13">
    <w:abstractNumId w:val="38"/>
  </w:num>
  <w:num w:numId="14">
    <w:abstractNumId w:val="27"/>
  </w:num>
  <w:num w:numId="15">
    <w:abstractNumId w:val="45"/>
  </w:num>
  <w:num w:numId="16">
    <w:abstractNumId w:val="39"/>
  </w:num>
  <w:num w:numId="17">
    <w:abstractNumId w:val="21"/>
  </w:num>
  <w:num w:numId="18">
    <w:abstractNumId w:val="11"/>
  </w:num>
  <w:num w:numId="19">
    <w:abstractNumId w:val="47"/>
  </w:num>
  <w:num w:numId="20">
    <w:abstractNumId w:val="16"/>
  </w:num>
  <w:num w:numId="21">
    <w:abstractNumId w:val="24"/>
  </w:num>
  <w:num w:numId="22">
    <w:abstractNumId w:val="19"/>
  </w:num>
  <w:num w:numId="23">
    <w:abstractNumId w:val="29"/>
  </w:num>
  <w:num w:numId="24">
    <w:abstractNumId w:val="32"/>
  </w:num>
  <w:num w:numId="25">
    <w:abstractNumId w:val="9"/>
  </w:num>
  <w:num w:numId="26">
    <w:abstractNumId w:val="33"/>
  </w:num>
  <w:num w:numId="27">
    <w:abstractNumId w:val="46"/>
  </w:num>
  <w:num w:numId="28">
    <w:abstractNumId w:val="48"/>
    <w:lvlOverride w:ilvl="0">
      <w:startOverride w:val="1"/>
    </w:lvlOverride>
  </w:num>
  <w:num w:numId="29">
    <w:abstractNumId w:val="15"/>
  </w:num>
  <w:num w:numId="30">
    <w:abstractNumId w:val="35"/>
  </w:num>
  <w:num w:numId="31">
    <w:abstractNumId w:val="40"/>
  </w:num>
  <w:num w:numId="32">
    <w:abstractNumId w:val="5"/>
  </w:num>
  <w:num w:numId="33">
    <w:abstractNumId w:val="13"/>
  </w:num>
  <w:num w:numId="34">
    <w:abstractNumId w:val="4"/>
    <w:lvlOverride w:ilvl="0">
      <w:lvl w:ilvl="0">
        <w:start w:val="1"/>
        <w:numFmt w:val="bullet"/>
        <w:pStyle w:val="lastdot"/>
        <w:lvlText w:val=""/>
        <w:legacy w:legacy="1" w:legacySpace="0" w:legacyIndent="283"/>
        <w:lvlJc w:val="left"/>
        <w:pPr>
          <w:ind w:left="992" w:hanging="283"/>
        </w:pPr>
        <w:rPr>
          <w:rFonts w:ascii="Symbol" w:hAnsi="Symbol" w:hint="default"/>
        </w:rPr>
      </w:lvl>
    </w:lvlOverride>
  </w:num>
  <w:num w:numId="35">
    <w:abstractNumId w:val="34"/>
  </w:num>
  <w:num w:numId="36">
    <w:abstractNumId w:val="22"/>
  </w:num>
  <w:num w:numId="37">
    <w:abstractNumId w:val="42"/>
  </w:num>
  <w:num w:numId="38">
    <w:abstractNumId w:val="31"/>
  </w:num>
  <w:num w:numId="39">
    <w:abstractNumId w:val="36"/>
  </w:num>
  <w:num w:numId="40">
    <w:abstractNumId w:val="26"/>
  </w:num>
  <w:num w:numId="41">
    <w:abstractNumId w:val="48"/>
  </w:num>
  <w:num w:numId="42">
    <w:abstractNumId w:val="23"/>
  </w:num>
  <w:num w:numId="43">
    <w:abstractNumId w:val="8"/>
  </w:num>
  <w:num w:numId="44">
    <w:abstractNumId w:val="43"/>
  </w:num>
  <w:num w:numId="45">
    <w:abstractNumId w:val="7"/>
  </w:num>
  <w:num w:numId="46">
    <w:abstractNumId w:val="25"/>
  </w:num>
  <w:num w:numId="47">
    <w:abstractNumId w:val="20"/>
  </w:num>
  <w:num w:numId="48">
    <w:abstractNumId w:val="41"/>
  </w:num>
  <w:num w:numId="49">
    <w:abstractNumId w:val="14"/>
  </w:num>
  <w:num w:numId="5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3D6"/>
    <w:rsid w:val="00001355"/>
    <w:rsid w:val="000F5981"/>
    <w:rsid w:val="001743D6"/>
    <w:rsid w:val="003E70FC"/>
    <w:rsid w:val="00560E6B"/>
    <w:rsid w:val="007D0449"/>
    <w:rsid w:val="00860319"/>
    <w:rsid w:val="00D06FDE"/>
    <w:rsid w:val="00F83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36F36D-7E3C-4489-B2CC-14A63686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rsid w:val="001743D6"/>
    <w:pPr>
      <w:spacing w:before="360" w:after="120" w:line="560" w:lineRule="exact"/>
      <w:outlineLvl w:val="0"/>
    </w:pPr>
    <w:rPr>
      <w:rFonts w:ascii="Segoe UI Semibold" w:hAnsi="Segoe UI Semibold" w:cs="Segoe UI"/>
      <w:color w:val="0074A1"/>
      <w:sz w:val="44"/>
      <w:szCs w:val="44"/>
    </w:rPr>
  </w:style>
  <w:style w:type="paragraph" w:styleId="Heading2">
    <w:name w:val="heading 2"/>
    <w:basedOn w:val="silentheading"/>
    <w:next w:val="Normal"/>
    <w:link w:val="Heading2Char"/>
    <w:unhideWhenUsed/>
    <w:qFormat/>
    <w:rsid w:val="001743D6"/>
    <w:pPr>
      <w:spacing w:after="240" w:line="440" w:lineRule="atLeast"/>
      <w:outlineLvl w:val="1"/>
    </w:pPr>
    <w:rPr>
      <w:sz w:val="32"/>
      <w:szCs w:val="32"/>
    </w:rPr>
  </w:style>
  <w:style w:type="paragraph" w:styleId="Heading3">
    <w:name w:val="heading 3"/>
    <w:aliases w:val="h3"/>
    <w:basedOn w:val="h31"/>
    <w:next w:val="Normal"/>
    <w:link w:val="Heading3Char"/>
    <w:unhideWhenUsed/>
    <w:qFormat/>
    <w:rsid w:val="001743D6"/>
    <w:pPr>
      <w:keepNext/>
    </w:pPr>
  </w:style>
  <w:style w:type="paragraph" w:styleId="Heading4">
    <w:name w:val="heading 4"/>
    <w:basedOn w:val="Normal"/>
    <w:next w:val="Normal"/>
    <w:link w:val="Heading4Char"/>
    <w:unhideWhenUsed/>
    <w:qFormat/>
    <w:rsid w:val="001743D6"/>
    <w:pPr>
      <w:keepNext/>
      <w:spacing w:before="120" w:after="120" w:line="240" w:lineRule="auto"/>
      <w:jc w:val="both"/>
      <w:outlineLvl w:val="3"/>
    </w:pPr>
    <w:rPr>
      <w:rFonts w:ascii="Segoe UI" w:hAnsi="Segoe UI" w:cs="Segoe UI"/>
      <w:i/>
      <w:sz w:val="24"/>
      <w:szCs w:val="24"/>
    </w:rPr>
  </w:style>
  <w:style w:type="paragraph" w:styleId="Heading5">
    <w:name w:val="heading 5"/>
    <w:basedOn w:val="Normal"/>
    <w:next w:val="Normal"/>
    <w:link w:val="Heading5Char"/>
    <w:unhideWhenUsed/>
    <w:qFormat/>
    <w:rsid w:val="001743D6"/>
    <w:pPr>
      <w:keepNext/>
      <w:keepLines/>
      <w:spacing w:before="40" w:after="40"/>
      <w:outlineLvl w:val="4"/>
    </w:pPr>
    <w:rPr>
      <w:rFonts w:ascii="Segoe UI" w:eastAsia="STZhongsong" w:hAnsi="Segoe UI" w:cs="Majalla UI"/>
      <w:i/>
      <w:color w:val="13345C"/>
    </w:rPr>
  </w:style>
  <w:style w:type="paragraph" w:styleId="Heading6">
    <w:name w:val="heading 6"/>
    <w:basedOn w:val="Normal"/>
    <w:next w:val="Normal"/>
    <w:link w:val="Heading6Char"/>
    <w:unhideWhenUsed/>
    <w:qFormat/>
    <w:rsid w:val="001743D6"/>
    <w:pPr>
      <w:keepNext/>
      <w:keepLines/>
      <w:spacing w:before="40" w:after="0"/>
      <w:outlineLvl w:val="5"/>
    </w:pPr>
    <w:rPr>
      <w:rFonts w:ascii="Gill Sans MT" w:eastAsia="STZhongsong" w:hAnsi="Gill Sans MT" w:cs="Majalla UI"/>
      <w:i/>
      <w:iCs/>
      <w:color w:val="13345C"/>
    </w:rPr>
  </w:style>
  <w:style w:type="paragraph" w:styleId="Heading7">
    <w:name w:val="heading 7"/>
    <w:basedOn w:val="Heading6"/>
    <w:next w:val="Normal"/>
    <w:link w:val="Heading7Char"/>
    <w:qFormat/>
    <w:rsid w:val="001743D6"/>
    <w:pPr>
      <w:outlineLvl w:val="6"/>
    </w:pPr>
    <w:rPr>
      <w:i w:val="0"/>
    </w:rPr>
  </w:style>
  <w:style w:type="paragraph" w:styleId="Heading8">
    <w:name w:val="heading 8"/>
    <w:basedOn w:val="Normal"/>
    <w:next w:val="Normal"/>
    <w:link w:val="Heading8Char"/>
    <w:qFormat/>
    <w:rsid w:val="001743D6"/>
    <w:pPr>
      <w:overflowPunct w:val="0"/>
      <w:autoSpaceDE w:val="0"/>
      <w:autoSpaceDN w:val="0"/>
      <w:adjustRightInd w:val="0"/>
      <w:spacing w:before="240" w:after="60" w:line="240" w:lineRule="auto"/>
      <w:ind w:left="6655" w:hanging="708"/>
      <w:textAlignment w:val="baseline"/>
      <w:outlineLvl w:val="7"/>
    </w:pPr>
    <w:rPr>
      <w:rFonts w:ascii="Arial" w:eastAsia="Times New Roman" w:hAnsi="Arial" w:cs="Times New Roman"/>
      <w:i/>
      <w:szCs w:val="20"/>
      <w:lang w:eastAsia="en-AU"/>
    </w:rPr>
  </w:style>
  <w:style w:type="paragraph" w:styleId="Heading9">
    <w:name w:val="heading 9"/>
    <w:basedOn w:val="Normal"/>
    <w:next w:val="Normal"/>
    <w:link w:val="Heading9Char"/>
    <w:qFormat/>
    <w:rsid w:val="001743D6"/>
    <w:pPr>
      <w:overflowPunct w:val="0"/>
      <w:autoSpaceDE w:val="0"/>
      <w:autoSpaceDN w:val="0"/>
      <w:adjustRightInd w:val="0"/>
      <w:spacing w:before="240" w:after="60" w:line="240" w:lineRule="auto"/>
      <w:ind w:left="7363" w:hanging="708"/>
      <w:textAlignment w:val="baseline"/>
      <w:outlineLvl w:val="8"/>
    </w:pPr>
    <w:rPr>
      <w:rFonts w:ascii="Arial" w:eastAsia="Times New Roman" w:hAnsi="Arial" w:cs="Times New Roman"/>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3D6"/>
    <w:rPr>
      <w:rFonts w:ascii="Segoe UI Semibold" w:hAnsi="Segoe UI Semibold" w:cs="Segoe UI"/>
      <w:color w:val="0074A1"/>
      <w:sz w:val="44"/>
      <w:szCs w:val="44"/>
    </w:rPr>
  </w:style>
  <w:style w:type="character" w:customStyle="1" w:styleId="Heading2Char">
    <w:name w:val="Heading 2 Char"/>
    <w:basedOn w:val="DefaultParagraphFont"/>
    <w:link w:val="Heading2"/>
    <w:rsid w:val="001743D6"/>
    <w:rPr>
      <w:rFonts w:ascii="Segoe UI" w:hAnsi="Segoe UI" w:cs="Segoe UI"/>
      <w:b/>
      <w:color w:val="0074A1"/>
      <w:sz w:val="32"/>
      <w:szCs w:val="32"/>
    </w:rPr>
  </w:style>
  <w:style w:type="character" w:customStyle="1" w:styleId="Heading3Char">
    <w:name w:val="Heading 3 Char"/>
    <w:aliases w:val="h3 Char"/>
    <w:basedOn w:val="DefaultParagraphFont"/>
    <w:link w:val="Heading3"/>
    <w:rsid w:val="001743D6"/>
    <w:rPr>
      <w:rFonts w:ascii="Segoe UI" w:hAnsi="Segoe UI" w:cs="Segoe UI"/>
      <w:b/>
      <w:color w:val="000000"/>
      <w:sz w:val="24"/>
      <w:szCs w:val="24"/>
    </w:rPr>
  </w:style>
  <w:style w:type="character" w:customStyle="1" w:styleId="Heading4Char">
    <w:name w:val="Heading 4 Char"/>
    <w:basedOn w:val="DefaultParagraphFont"/>
    <w:link w:val="Heading4"/>
    <w:rsid w:val="001743D6"/>
    <w:rPr>
      <w:rFonts w:ascii="Segoe UI" w:hAnsi="Segoe UI" w:cs="Segoe UI"/>
      <w:i/>
      <w:sz w:val="24"/>
      <w:szCs w:val="24"/>
    </w:rPr>
  </w:style>
  <w:style w:type="character" w:customStyle="1" w:styleId="Heading5Char">
    <w:name w:val="Heading 5 Char"/>
    <w:basedOn w:val="DefaultParagraphFont"/>
    <w:link w:val="Heading5"/>
    <w:rsid w:val="001743D6"/>
    <w:rPr>
      <w:rFonts w:ascii="Segoe UI" w:eastAsia="STZhongsong" w:hAnsi="Segoe UI" w:cs="Majalla UI"/>
      <w:i/>
      <w:color w:val="13345C"/>
    </w:rPr>
  </w:style>
  <w:style w:type="character" w:customStyle="1" w:styleId="Heading6Char">
    <w:name w:val="Heading 6 Char"/>
    <w:basedOn w:val="DefaultParagraphFont"/>
    <w:link w:val="Heading6"/>
    <w:rsid w:val="001743D6"/>
    <w:rPr>
      <w:rFonts w:ascii="Gill Sans MT" w:eastAsia="STZhongsong" w:hAnsi="Gill Sans MT" w:cs="Majalla UI"/>
      <w:i/>
      <w:iCs/>
      <w:color w:val="13345C"/>
    </w:rPr>
  </w:style>
  <w:style w:type="character" w:customStyle="1" w:styleId="Heading7Char">
    <w:name w:val="Heading 7 Char"/>
    <w:basedOn w:val="DefaultParagraphFont"/>
    <w:link w:val="Heading7"/>
    <w:rsid w:val="001743D6"/>
    <w:rPr>
      <w:rFonts w:ascii="Gill Sans MT" w:eastAsia="STZhongsong" w:hAnsi="Gill Sans MT" w:cs="Majalla UI"/>
      <w:iCs/>
      <w:color w:val="13345C"/>
    </w:rPr>
  </w:style>
  <w:style w:type="character" w:customStyle="1" w:styleId="Heading8Char">
    <w:name w:val="Heading 8 Char"/>
    <w:basedOn w:val="DefaultParagraphFont"/>
    <w:link w:val="Heading8"/>
    <w:rsid w:val="001743D6"/>
    <w:rPr>
      <w:rFonts w:ascii="Arial" w:eastAsia="Times New Roman" w:hAnsi="Arial" w:cs="Times New Roman"/>
      <w:i/>
      <w:szCs w:val="20"/>
      <w:lang w:eastAsia="en-AU"/>
    </w:rPr>
  </w:style>
  <w:style w:type="character" w:customStyle="1" w:styleId="Heading9Char">
    <w:name w:val="Heading 9 Char"/>
    <w:basedOn w:val="DefaultParagraphFont"/>
    <w:link w:val="Heading9"/>
    <w:rsid w:val="001743D6"/>
    <w:rPr>
      <w:rFonts w:ascii="Arial" w:eastAsia="Times New Roman" w:hAnsi="Arial" w:cs="Times New Roman"/>
      <w:i/>
      <w:sz w:val="18"/>
      <w:szCs w:val="20"/>
      <w:lang w:eastAsia="en-AU"/>
    </w:rPr>
  </w:style>
  <w:style w:type="numbering" w:customStyle="1" w:styleId="NoList1">
    <w:name w:val="No List1"/>
    <w:next w:val="NoList"/>
    <w:uiPriority w:val="99"/>
    <w:semiHidden/>
    <w:unhideWhenUsed/>
    <w:rsid w:val="001743D6"/>
  </w:style>
  <w:style w:type="numbering" w:customStyle="1" w:styleId="NoList11">
    <w:name w:val="No List11"/>
    <w:next w:val="NoList"/>
    <w:uiPriority w:val="99"/>
    <w:semiHidden/>
    <w:unhideWhenUsed/>
    <w:rsid w:val="001743D6"/>
  </w:style>
  <w:style w:type="paragraph" w:styleId="BalloonText">
    <w:name w:val="Balloon Text"/>
    <w:basedOn w:val="Normal"/>
    <w:link w:val="BalloonTextChar"/>
    <w:uiPriority w:val="99"/>
    <w:semiHidden/>
    <w:unhideWhenUsed/>
    <w:rsid w:val="00174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3D6"/>
    <w:rPr>
      <w:rFonts w:ascii="Segoe UI" w:hAnsi="Segoe UI" w:cs="Segoe UI"/>
      <w:sz w:val="18"/>
      <w:szCs w:val="18"/>
    </w:rPr>
  </w:style>
  <w:style w:type="paragraph" w:customStyle="1" w:styleId="h31">
    <w:name w:val="h31"/>
    <w:basedOn w:val="Normal"/>
    <w:next w:val="Normal"/>
    <w:uiPriority w:val="4"/>
    <w:unhideWhenUsed/>
    <w:qFormat/>
    <w:rsid w:val="001743D6"/>
    <w:pPr>
      <w:spacing w:before="240" w:after="240" w:line="240" w:lineRule="auto"/>
      <w:outlineLvl w:val="2"/>
    </w:pPr>
    <w:rPr>
      <w:rFonts w:ascii="Segoe UI" w:hAnsi="Segoe UI" w:cs="Segoe UI"/>
      <w:b/>
      <w:color w:val="000000"/>
      <w:sz w:val="24"/>
      <w:szCs w:val="24"/>
    </w:rPr>
  </w:style>
  <w:style w:type="paragraph" w:customStyle="1" w:styleId="Heading51">
    <w:name w:val="Heading 51"/>
    <w:basedOn w:val="Heading4"/>
    <w:next w:val="Normal"/>
    <w:uiPriority w:val="9"/>
    <w:unhideWhenUsed/>
    <w:qFormat/>
    <w:rsid w:val="001743D6"/>
    <w:pPr>
      <w:keepLines/>
      <w:spacing w:before="200" w:after="0"/>
      <w:outlineLvl w:val="4"/>
    </w:pPr>
    <w:rPr>
      <w:rFonts w:eastAsia="STZhongsong" w:cs="Majalla UI"/>
      <w:b/>
      <w:i w:val="0"/>
      <w:color w:val="13345C"/>
    </w:rPr>
  </w:style>
  <w:style w:type="paragraph" w:customStyle="1" w:styleId="Heading61">
    <w:name w:val="Heading 61"/>
    <w:basedOn w:val="Normal"/>
    <w:next w:val="Normal"/>
    <w:uiPriority w:val="9"/>
    <w:unhideWhenUsed/>
    <w:qFormat/>
    <w:rsid w:val="001743D6"/>
    <w:pPr>
      <w:keepNext/>
      <w:keepLines/>
      <w:spacing w:before="200" w:after="0" w:line="240" w:lineRule="auto"/>
      <w:outlineLvl w:val="5"/>
    </w:pPr>
    <w:rPr>
      <w:rFonts w:ascii="Gill Sans MT" w:eastAsia="STZhongsong" w:hAnsi="Gill Sans MT" w:cs="Majalla UI"/>
      <w:i/>
      <w:iCs/>
      <w:color w:val="13345C"/>
    </w:rPr>
  </w:style>
  <w:style w:type="numbering" w:customStyle="1" w:styleId="NoList111">
    <w:name w:val="No List111"/>
    <w:next w:val="NoList"/>
    <w:uiPriority w:val="99"/>
    <w:semiHidden/>
    <w:unhideWhenUsed/>
    <w:rsid w:val="001743D6"/>
  </w:style>
  <w:style w:type="character" w:customStyle="1" w:styleId="SubtleEmphasis1">
    <w:name w:val="Subtle Emphasis1"/>
    <w:basedOn w:val="DefaultParagraphFont"/>
    <w:uiPriority w:val="19"/>
    <w:semiHidden/>
    <w:unhideWhenUsed/>
    <w:rsid w:val="001743D6"/>
    <w:rPr>
      <w:i/>
      <w:iCs/>
      <w:color w:val="808080"/>
    </w:rPr>
  </w:style>
  <w:style w:type="character" w:styleId="Hyperlink">
    <w:name w:val="Hyperlink"/>
    <w:basedOn w:val="DefaultParagraphFont"/>
    <w:uiPriority w:val="99"/>
    <w:unhideWhenUsed/>
    <w:qFormat/>
    <w:rsid w:val="001743D6"/>
    <w:rPr>
      <w:color w:val="0257BE"/>
    </w:rPr>
  </w:style>
  <w:style w:type="paragraph" w:styleId="Header">
    <w:name w:val="header"/>
    <w:aliases w:val="Odd page,EAHeader"/>
    <w:basedOn w:val="Normal"/>
    <w:link w:val="HeaderChar"/>
    <w:uiPriority w:val="99"/>
    <w:unhideWhenUsed/>
    <w:rsid w:val="001743D6"/>
    <w:pPr>
      <w:tabs>
        <w:tab w:val="center" w:pos="4513"/>
        <w:tab w:val="right" w:pos="9026"/>
      </w:tabs>
      <w:spacing w:before="120" w:after="0" w:line="240" w:lineRule="auto"/>
      <w:jc w:val="right"/>
    </w:pPr>
    <w:rPr>
      <w:rFonts w:ascii="Segoe UI" w:hAnsi="Segoe UI" w:cs="Segoe UI"/>
      <w:color w:val="0070C0"/>
      <w:sz w:val="18"/>
    </w:rPr>
  </w:style>
  <w:style w:type="character" w:customStyle="1" w:styleId="HeaderChar">
    <w:name w:val="Header Char"/>
    <w:aliases w:val="Odd page Char,EAHeader Char"/>
    <w:basedOn w:val="DefaultParagraphFont"/>
    <w:link w:val="Header"/>
    <w:uiPriority w:val="99"/>
    <w:rsid w:val="001743D6"/>
    <w:rPr>
      <w:rFonts w:ascii="Segoe UI" w:hAnsi="Segoe UI" w:cs="Segoe UI"/>
      <w:color w:val="0070C0"/>
      <w:sz w:val="18"/>
    </w:rPr>
  </w:style>
  <w:style w:type="paragraph" w:customStyle="1" w:styleId="Footer1">
    <w:name w:val="Footer1"/>
    <w:basedOn w:val="Normal"/>
    <w:next w:val="Footer"/>
    <w:link w:val="FooterChar"/>
    <w:uiPriority w:val="99"/>
    <w:unhideWhenUsed/>
    <w:rsid w:val="001743D6"/>
    <w:pPr>
      <w:tabs>
        <w:tab w:val="center" w:pos="4513"/>
        <w:tab w:val="right" w:pos="9026"/>
      </w:tabs>
      <w:spacing w:before="120" w:after="0" w:line="240" w:lineRule="auto"/>
    </w:pPr>
    <w:rPr>
      <w:rFonts w:ascii="Segoe UI" w:hAnsi="Segoe UI" w:cs="Segoe UI"/>
      <w:color w:val="02747E"/>
      <w:sz w:val="18"/>
    </w:rPr>
  </w:style>
  <w:style w:type="character" w:customStyle="1" w:styleId="FooterChar">
    <w:name w:val="Footer Char"/>
    <w:basedOn w:val="DefaultParagraphFont"/>
    <w:link w:val="Footer1"/>
    <w:uiPriority w:val="99"/>
    <w:rsid w:val="001743D6"/>
    <w:rPr>
      <w:rFonts w:ascii="Segoe UI" w:hAnsi="Segoe UI" w:cs="Segoe UI"/>
      <w:color w:val="02747E"/>
      <w:sz w:val="18"/>
    </w:rPr>
  </w:style>
  <w:style w:type="paragraph" w:styleId="ListParagraph">
    <w:name w:val="List Paragraph"/>
    <w:aliases w:val="List Paragraph1,List Paragraph11,Recommendation,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1743D6"/>
    <w:pPr>
      <w:spacing w:before="120" w:after="120" w:line="240" w:lineRule="auto"/>
      <w:ind w:left="720"/>
      <w:contextualSpacing/>
    </w:pPr>
    <w:rPr>
      <w:rFonts w:ascii="Segoe UI" w:hAnsi="Segoe UI" w:cs="Segoe UI"/>
    </w:rPr>
  </w:style>
  <w:style w:type="paragraph" w:customStyle="1" w:styleId="bullet">
    <w:name w:val="bullet"/>
    <w:basedOn w:val="Normal"/>
    <w:qFormat/>
    <w:rsid w:val="001743D6"/>
    <w:pPr>
      <w:numPr>
        <w:numId w:val="1"/>
      </w:numPr>
      <w:spacing w:before="80" w:after="80" w:line="240" w:lineRule="auto"/>
      <w:ind w:left="284" w:hanging="284"/>
    </w:pPr>
    <w:rPr>
      <w:rFonts w:ascii="Segoe UI" w:hAnsi="Segoe UI" w:cs="Segoe UI"/>
    </w:rPr>
  </w:style>
  <w:style w:type="paragraph" w:customStyle="1" w:styleId="bullet2">
    <w:name w:val="bullet 2"/>
    <w:basedOn w:val="bullet"/>
    <w:qFormat/>
    <w:rsid w:val="001743D6"/>
    <w:pPr>
      <w:numPr>
        <w:numId w:val="2"/>
      </w:numPr>
    </w:pPr>
  </w:style>
  <w:style w:type="paragraph" w:customStyle="1" w:styleId="introductiontext">
    <w:name w:val="introduction text"/>
    <w:basedOn w:val="Normal"/>
    <w:rsid w:val="001743D6"/>
    <w:pPr>
      <w:spacing w:before="160" w:line="320" w:lineRule="exact"/>
    </w:pPr>
    <w:rPr>
      <w:rFonts w:ascii="Segoe UI Semibold" w:hAnsi="Segoe UI Semibold" w:cs="Segoe UI"/>
      <w:color w:val="0074A1"/>
      <w:sz w:val="24"/>
      <w:szCs w:val="24"/>
    </w:rPr>
  </w:style>
  <w:style w:type="paragraph" w:styleId="TOC3">
    <w:name w:val="toc 3"/>
    <w:basedOn w:val="Normal"/>
    <w:next w:val="Normal"/>
    <w:autoRedefine/>
    <w:uiPriority w:val="39"/>
    <w:unhideWhenUsed/>
    <w:qFormat/>
    <w:rsid w:val="001743D6"/>
    <w:pPr>
      <w:tabs>
        <w:tab w:val="right" w:leader="dot" w:pos="9016"/>
      </w:tabs>
      <w:spacing w:before="120" w:after="100" w:line="240" w:lineRule="auto"/>
      <w:ind w:left="440"/>
    </w:pPr>
    <w:rPr>
      <w:rFonts w:ascii="Segoe UI" w:hAnsi="Segoe UI" w:cs="Segoe UI"/>
    </w:rPr>
  </w:style>
  <w:style w:type="paragraph" w:styleId="TableofFigures">
    <w:name w:val="table of figures"/>
    <w:basedOn w:val="Normal"/>
    <w:next w:val="Normal"/>
    <w:uiPriority w:val="99"/>
    <w:unhideWhenUsed/>
    <w:rsid w:val="001743D6"/>
    <w:pPr>
      <w:spacing w:before="120" w:after="0" w:line="240" w:lineRule="auto"/>
    </w:pPr>
    <w:rPr>
      <w:rFonts w:ascii="Segoe UI" w:hAnsi="Segoe UI" w:cs="Segoe UI"/>
    </w:rPr>
  </w:style>
  <w:style w:type="table" w:styleId="TableGrid">
    <w:name w:val="Table Grid"/>
    <w:basedOn w:val="TableNormal"/>
    <w:uiPriority w:val="39"/>
    <w:rsid w:val="00174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1">
    <w:name w:val="xTable 1"/>
    <w:basedOn w:val="TableGrid"/>
    <w:uiPriority w:val="99"/>
    <w:rsid w:val="001743D6"/>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shd w:val="clear" w:color="auto" w:fill="auto"/>
      <w:noWrap/>
      <w:tcMar>
        <w:top w:w="57" w:type="dxa"/>
        <w:bottom w:w="57" w:type="dxa"/>
      </w:tcMar>
    </w:tcPr>
    <w:tblStylePr w:type="firstRow">
      <w:pPr>
        <w:wordWrap/>
        <w:spacing w:beforeLines="0" w:before="20" w:beforeAutospacing="0" w:afterLines="0" w:after="20" w:afterAutospacing="0" w:line="240" w:lineRule="atLeast"/>
        <w:jc w:val="center"/>
      </w:pPr>
      <w:rPr>
        <w:rFonts w:ascii="Microsoft JhengHei UI Light" w:hAnsi="Microsoft JhengHei UI Light"/>
        <w:b w:val="0"/>
        <w:i w:val="0"/>
        <w:color w:val="000000"/>
        <w:sz w:val="19"/>
      </w:rPr>
      <w:tblPr/>
      <w:tcPr>
        <w:shd w:val="clear" w:color="auto" w:fill="E2EFD9" w:themeFill="accent6" w:themeFillTint="33"/>
        <w:vAlign w:val="bottom"/>
      </w:tcPr>
    </w:tblStylePr>
    <w:tblStylePr w:type="lastRow">
      <w:rPr>
        <w:rFonts w:ascii="Microsoft JhengHei UI Light" w:hAnsi="Microsoft JhengHei UI Light"/>
        <w:b/>
        <w:sz w:val="19"/>
      </w:rPr>
      <w:tblPr/>
      <w:tcPr>
        <w:tcBorders>
          <w:bottom w:val="single" w:sz="4" w:space="0" w:color="auto"/>
        </w:tcBorders>
      </w:tcPr>
    </w:tblStylePr>
    <w:tblStylePr w:type="firstCol">
      <w:rPr>
        <w:rFonts w:ascii="Microsoft JhengHei UI Light" w:hAnsi="Microsoft JhengHei UI Light"/>
        <w:sz w:val="19"/>
      </w:rPr>
    </w:tblStylePr>
    <w:tblStylePr w:type="band1Vert">
      <w:rPr>
        <w:rFonts w:ascii="Microsoft JhengHei UI Light" w:hAnsi="Microsoft JhengHei UI Light"/>
        <w:sz w:val="19"/>
      </w:rPr>
    </w:tblStylePr>
    <w:tblStylePr w:type="band2Vert">
      <w:rPr>
        <w:rFonts w:ascii="Microsoft JhengHei UI Light" w:hAnsi="Microsoft JhengHei UI Light"/>
        <w:sz w:val="19"/>
      </w:rPr>
      <w:tblPr/>
      <w:tcPr>
        <w:tcBorders>
          <w:left w:val="nil"/>
        </w:tcBorders>
      </w:tcPr>
    </w:tblStylePr>
    <w:tblStylePr w:type="band1Horz">
      <w:rPr>
        <w:rFonts w:ascii="Microsoft JhengHei UI Light" w:hAnsi="Microsoft JhengHei UI Light"/>
        <w:sz w:val="19"/>
      </w:rPr>
      <w:tblPr/>
      <w:tcPr>
        <w:tcBorders>
          <w:bottom w:val="nil"/>
        </w:tcBorders>
      </w:tcPr>
    </w:tblStylePr>
    <w:tblStylePr w:type="band2Horz">
      <w:rPr>
        <w:rFonts w:ascii="Microsoft JhengHei UI Light" w:hAnsi="Microsoft JhengHei UI Light"/>
        <w:sz w:val="19"/>
      </w:rPr>
      <w:tblPr/>
      <w:tcPr>
        <w:tcBorders>
          <w:left w:val="nil"/>
          <w:bottom w:val="single" w:sz="4" w:space="0" w:color="000000"/>
        </w:tcBorders>
      </w:tcPr>
    </w:tblStylePr>
    <w:tblStylePr w:type="nwCell">
      <w:pPr>
        <w:jc w:val="left"/>
      </w:pPr>
      <w:tblPr/>
      <w:tcPr>
        <w:vAlign w:val="bottom"/>
      </w:tcPr>
    </w:tblStylePr>
  </w:style>
  <w:style w:type="table" w:customStyle="1" w:styleId="LightList-Accent31">
    <w:name w:val="Light List - Accent 31"/>
    <w:basedOn w:val="TableNormal"/>
    <w:next w:val="LightList-Accent3"/>
    <w:uiPriority w:val="61"/>
    <w:rsid w:val="001743D6"/>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paragraph" w:customStyle="1" w:styleId="Copyright">
    <w:name w:val="Copyright"/>
    <w:basedOn w:val="Normal"/>
    <w:semiHidden/>
    <w:rsid w:val="001743D6"/>
    <w:pPr>
      <w:pBdr>
        <w:top w:val="single" w:sz="4" w:space="4" w:color="008FCC"/>
      </w:pBdr>
      <w:tabs>
        <w:tab w:val="left" w:pos="340"/>
      </w:tabs>
      <w:spacing w:before="60" w:after="80" w:line="180" w:lineRule="exact"/>
    </w:pPr>
    <w:rPr>
      <w:rFonts w:ascii="Segoe UI" w:eastAsia="Times New Roman" w:hAnsi="Segoe UI" w:cs="Segoe UI"/>
      <w:sz w:val="16"/>
      <w:szCs w:val="14"/>
    </w:rPr>
  </w:style>
  <w:style w:type="paragraph" w:customStyle="1" w:styleId="references">
    <w:name w:val="references"/>
    <w:basedOn w:val="Normal"/>
    <w:rsid w:val="001743D6"/>
    <w:pPr>
      <w:spacing w:before="120" w:after="120" w:line="240" w:lineRule="auto"/>
      <w:ind w:left="567" w:hanging="567"/>
    </w:pPr>
    <w:rPr>
      <w:rFonts w:ascii="Segoe UI" w:hAnsi="Segoe UI" w:cs="Segoe UI"/>
    </w:rPr>
  </w:style>
  <w:style w:type="paragraph" w:customStyle="1" w:styleId="Figuretextorcaption1">
    <w:name w:val="Figure text or caption1"/>
    <w:basedOn w:val="Normal"/>
    <w:next w:val="Normal"/>
    <w:uiPriority w:val="35"/>
    <w:unhideWhenUsed/>
    <w:qFormat/>
    <w:rsid w:val="001743D6"/>
    <w:pPr>
      <w:spacing w:before="180" w:after="180" w:line="240" w:lineRule="exact"/>
    </w:pPr>
    <w:rPr>
      <w:rFonts w:ascii="Segoe UI Semibold" w:eastAsia="Times New Roman" w:hAnsi="Segoe UI Semibold" w:cs="Times New Roman"/>
      <w:color w:val="016295"/>
    </w:rPr>
  </w:style>
  <w:style w:type="paragraph" w:styleId="TOC2">
    <w:name w:val="toc 2"/>
    <w:basedOn w:val="Normal"/>
    <w:next w:val="Normal"/>
    <w:autoRedefine/>
    <w:uiPriority w:val="39"/>
    <w:unhideWhenUsed/>
    <w:qFormat/>
    <w:rsid w:val="001743D6"/>
    <w:pPr>
      <w:tabs>
        <w:tab w:val="left" w:pos="880"/>
        <w:tab w:val="right" w:leader="dot" w:pos="9060"/>
      </w:tabs>
      <w:spacing w:before="120" w:after="100" w:line="240" w:lineRule="auto"/>
      <w:ind w:left="220"/>
    </w:pPr>
    <w:rPr>
      <w:rFonts w:ascii="Segoe UI" w:hAnsi="Segoe UI" w:cs="Segoe UI"/>
    </w:rPr>
  </w:style>
  <w:style w:type="paragraph" w:styleId="TOC1">
    <w:name w:val="toc 1"/>
    <w:basedOn w:val="Normal"/>
    <w:next w:val="Normal"/>
    <w:autoRedefine/>
    <w:uiPriority w:val="39"/>
    <w:unhideWhenUsed/>
    <w:qFormat/>
    <w:rsid w:val="001743D6"/>
    <w:pPr>
      <w:tabs>
        <w:tab w:val="right" w:leader="dot" w:pos="9060"/>
      </w:tabs>
      <w:spacing w:before="120" w:after="100" w:line="240" w:lineRule="auto"/>
    </w:pPr>
    <w:rPr>
      <w:rFonts w:ascii="Segoe UI" w:hAnsi="Segoe UI" w:cs="Segoe UI"/>
      <w:noProof/>
    </w:rPr>
  </w:style>
  <w:style w:type="paragraph" w:customStyle="1" w:styleId="seriestitle">
    <w:name w:val="series title"/>
    <w:basedOn w:val="Normal"/>
    <w:rsid w:val="001743D6"/>
    <w:pPr>
      <w:spacing w:before="120" w:after="120" w:line="560" w:lineRule="exact"/>
    </w:pPr>
    <w:rPr>
      <w:rFonts w:ascii="Segoe UI Light" w:hAnsi="Segoe UI Light" w:cs="Segoe UI"/>
      <w:color w:val="FFFFFF"/>
      <w:sz w:val="44"/>
      <w:szCs w:val="44"/>
    </w:rPr>
  </w:style>
  <w:style w:type="paragraph" w:customStyle="1" w:styleId="silentheading">
    <w:name w:val="silent heading"/>
    <w:rsid w:val="001743D6"/>
    <w:pPr>
      <w:spacing w:before="360" w:after="480" w:line="276" w:lineRule="auto"/>
    </w:pPr>
    <w:rPr>
      <w:rFonts w:ascii="Segoe UI" w:hAnsi="Segoe UI" w:cs="Segoe UI"/>
      <w:b/>
      <w:color w:val="0074A1"/>
      <w:sz w:val="28"/>
      <w:szCs w:val="28"/>
    </w:rPr>
  </w:style>
  <w:style w:type="paragraph" w:customStyle="1" w:styleId="imprintheading">
    <w:name w:val="imprint heading"/>
    <w:basedOn w:val="Normal"/>
    <w:rsid w:val="001743D6"/>
    <w:pPr>
      <w:spacing w:before="120" w:after="120" w:line="240" w:lineRule="auto"/>
    </w:pPr>
    <w:rPr>
      <w:rFonts w:ascii="Segoe UI" w:hAnsi="Segoe UI" w:cs="Segoe UI"/>
      <w:b/>
      <w:sz w:val="20"/>
      <w:szCs w:val="20"/>
    </w:rPr>
  </w:style>
  <w:style w:type="paragraph" w:customStyle="1" w:styleId="imprinttext">
    <w:name w:val="imprint text"/>
    <w:basedOn w:val="Normal"/>
    <w:rsid w:val="001743D6"/>
    <w:pPr>
      <w:spacing w:before="120" w:after="120" w:line="240" w:lineRule="auto"/>
    </w:pPr>
    <w:rPr>
      <w:rFonts w:ascii="Segoe UI" w:hAnsi="Segoe UI" w:cs="Segoe UI"/>
      <w:sz w:val="20"/>
      <w:szCs w:val="20"/>
    </w:rPr>
  </w:style>
  <w:style w:type="paragraph" w:customStyle="1" w:styleId="copyrightdisclaimer">
    <w:name w:val="copyright / disclaimer"/>
    <w:basedOn w:val="Copyright"/>
    <w:rsid w:val="001743D6"/>
    <w:pPr>
      <w:pBdr>
        <w:top w:val="single" w:sz="4" w:space="6" w:color="008FCC"/>
      </w:pBdr>
    </w:pPr>
    <w:rPr>
      <w:szCs w:val="16"/>
    </w:rPr>
  </w:style>
  <w:style w:type="character" w:styleId="PlaceholderText">
    <w:name w:val="Placeholder Text"/>
    <w:basedOn w:val="DefaultParagraphFont"/>
    <w:uiPriority w:val="99"/>
    <w:rsid w:val="001743D6"/>
    <w:rPr>
      <w:color w:val="808080"/>
    </w:rPr>
  </w:style>
  <w:style w:type="paragraph" w:customStyle="1" w:styleId="featuretexthead">
    <w:name w:val="feature text head"/>
    <w:basedOn w:val="Normal"/>
    <w:rsid w:val="001743D6"/>
    <w:pPr>
      <w:spacing w:before="120" w:after="120" w:line="300" w:lineRule="atLeast"/>
    </w:pPr>
    <w:rPr>
      <w:rFonts w:ascii="Segoe UI" w:hAnsi="Segoe UI" w:cs="Segoe UI"/>
      <w:b/>
      <w:color w:val="02747E"/>
      <w:sz w:val="24"/>
    </w:rPr>
  </w:style>
  <w:style w:type="paragraph" w:customStyle="1" w:styleId="tabletext">
    <w:name w:val="table text"/>
    <w:basedOn w:val="bullet2"/>
    <w:rsid w:val="001743D6"/>
    <w:pPr>
      <w:numPr>
        <w:numId w:val="0"/>
      </w:numPr>
      <w:spacing w:before="5" w:after="5" w:line="240" w:lineRule="exact"/>
    </w:pPr>
    <w:rPr>
      <w:sz w:val="20"/>
      <w:szCs w:val="20"/>
    </w:rPr>
  </w:style>
  <w:style w:type="paragraph" w:customStyle="1" w:styleId="tableheadertext">
    <w:name w:val="table header text"/>
    <w:basedOn w:val="bullet2"/>
    <w:rsid w:val="001743D6"/>
    <w:pPr>
      <w:numPr>
        <w:numId w:val="0"/>
      </w:numPr>
      <w:spacing w:beforeLines="25" w:before="25" w:afterLines="25" w:after="25" w:line="240" w:lineRule="exact"/>
    </w:pPr>
    <w:rPr>
      <w:rFonts w:ascii="Segoe UI Semibold" w:hAnsi="Segoe UI Semibold"/>
      <w:b/>
      <w:color w:val="000000"/>
      <w:sz w:val="20"/>
      <w:szCs w:val="20"/>
    </w:rPr>
  </w:style>
  <w:style w:type="table" w:customStyle="1" w:styleId="LightShading1">
    <w:name w:val="Light Shading1"/>
    <w:basedOn w:val="TableNormal"/>
    <w:next w:val="LightShading"/>
    <w:uiPriority w:val="60"/>
    <w:rsid w:val="001743D6"/>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1743D6"/>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
    <w:name w:val="Light Shading - Accent 61"/>
    <w:basedOn w:val="TableNormal"/>
    <w:next w:val="LightShading-Accent6"/>
    <w:uiPriority w:val="60"/>
    <w:rsid w:val="001743D6"/>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
    <w:name w:val="Light Shading - Accent 21"/>
    <w:basedOn w:val="TableGrid"/>
    <w:next w:val="LightShading-Accent2"/>
    <w:uiPriority w:val="60"/>
    <w:rsid w:val="001743D6"/>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paragraph" w:customStyle="1" w:styleId="FootnoteText1">
    <w:name w:val="Footnote Text1"/>
    <w:basedOn w:val="Normal"/>
    <w:next w:val="FootnoteText"/>
    <w:link w:val="FootnoteTextChar"/>
    <w:uiPriority w:val="99"/>
    <w:unhideWhenUsed/>
    <w:rsid w:val="001743D6"/>
    <w:pPr>
      <w:spacing w:after="0" w:line="240" w:lineRule="auto"/>
    </w:pPr>
    <w:rPr>
      <w:rFonts w:ascii="Segoe UI" w:eastAsia="STZhongsong" w:hAnsi="Segoe UI" w:cs="Segoe UI"/>
      <w:sz w:val="20"/>
      <w:szCs w:val="20"/>
      <w:lang w:val="en-US" w:eastAsia="ja-JP"/>
    </w:rPr>
  </w:style>
  <w:style w:type="character" w:customStyle="1" w:styleId="FootnoteTextChar">
    <w:name w:val="Footnote Text Char"/>
    <w:aliases w:val="ALTS FOOTNOTE Char,Footnote Text Char Char Char,Footnote Text Char1 Char,ALTS FOOTNOTE Char Char Char,ALTS FOOTNOTE Char1 Char,URS Footnote Text Char, Char Char,Char1 Char,Char Char,Geneva 9 Char,Font: Geneva 9 Char,Boston 10 Char"/>
    <w:basedOn w:val="DefaultParagraphFont"/>
    <w:link w:val="FootnoteText1"/>
    <w:uiPriority w:val="99"/>
    <w:rsid w:val="001743D6"/>
    <w:rPr>
      <w:rFonts w:ascii="Segoe UI" w:eastAsia="STZhongsong" w:hAnsi="Segoe UI" w:cs="Segoe UI"/>
      <w:sz w:val="20"/>
      <w:szCs w:val="20"/>
      <w:lang w:val="en-US" w:eastAsia="ja-JP"/>
    </w:rPr>
  </w:style>
  <w:style w:type="table" w:customStyle="1" w:styleId="MediumList2-Accent11">
    <w:name w:val="Medium List 2 - Accent 11"/>
    <w:basedOn w:val="TableNormal"/>
    <w:next w:val="MediumList2-Accent1"/>
    <w:uiPriority w:val="66"/>
    <w:rsid w:val="001743D6"/>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paragraph" w:customStyle="1" w:styleId="Title1">
    <w:name w:val="Title1"/>
    <w:next w:val="Normal"/>
    <w:uiPriority w:val="10"/>
    <w:rsid w:val="001743D6"/>
    <w:pPr>
      <w:spacing w:before="360" w:after="120" w:line="264" w:lineRule="auto"/>
    </w:pPr>
    <w:rPr>
      <w:rFonts w:ascii="Segoe UI Semibold" w:hAnsi="Segoe UI Semibold"/>
      <w:color w:val="9AF6FD"/>
      <w:sz w:val="44"/>
      <w:szCs w:val="44"/>
    </w:rPr>
  </w:style>
  <w:style w:type="character" w:customStyle="1" w:styleId="TitleChar">
    <w:name w:val="Title Char"/>
    <w:basedOn w:val="DefaultParagraphFont"/>
    <w:link w:val="Title"/>
    <w:rsid w:val="001743D6"/>
    <w:rPr>
      <w:rFonts w:ascii="Segoe UI Semibold" w:hAnsi="Segoe UI Semibold"/>
      <w:color w:val="9AF6FD"/>
      <w:sz w:val="44"/>
      <w:szCs w:val="44"/>
    </w:rPr>
  </w:style>
  <w:style w:type="paragraph" w:customStyle="1" w:styleId="Logo">
    <w:name w:val="Logo"/>
    <w:basedOn w:val="Header"/>
    <w:link w:val="LogoChar"/>
    <w:rsid w:val="001743D6"/>
    <w:pPr>
      <w:framePr w:wrap="around" w:vAnchor="page" w:hAnchor="page" w:x="1458" w:y="1521" w:anchorLock="1"/>
    </w:pPr>
    <w:rPr>
      <w:noProof/>
      <w:lang w:eastAsia="en-AU"/>
    </w:rPr>
  </w:style>
  <w:style w:type="paragraph" w:customStyle="1" w:styleId="FooterBanner">
    <w:name w:val="Footer Banner"/>
    <w:basedOn w:val="Footer"/>
    <w:link w:val="FooterBannerChar"/>
    <w:rsid w:val="001743D6"/>
    <w:pPr>
      <w:framePr w:wrap="around" w:vAnchor="page" w:hAnchor="page" w:y="10978" w:anchorLock="1"/>
      <w:numPr>
        <w:ilvl w:val="2"/>
        <w:numId w:val="11"/>
      </w:numPr>
      <w:spacing w:before="120"/>
    </w:pPr>
    <w:rPr>
      <w:noProof/>
      <w:color w:val="02747E"/>
      <w:sz w:val="18"/>
      <w:lang w:eastAsia="en-AU"/>
    </w:rPr>
  </w:style>
  <w:style w:type="character" w:customStyle="1" w:styleId="LogoChar">
    <w:name w:val="Logo Char"/>
    <w:basedOn w:val="HeaderChar"/>
    <w:link w:val="Logo"/>
    <w:rsid w:val="001743D6"/>
    <w:rPr>
      <w:rFonts w:ascii="Segoe UI" w:hAnsi="Segoe UI" w:cs="Segoe UI"/>
      <w:noProof/>
      <w:color w:val="0070C0"/>
      <w:sz w:val="18"/>
      <w:lang w:eastAsia="en-AU"/>
    </w:rPr>
  </w:style>
  <w:style w:type="table" w:customStyle="1" w:styleId="Frame">
    <w:name w:val="Frame"/>
    <w:basedOn w:val="TableNormal"/>
    <w:uiPriority w:val="99"/>
    <w:rsid w:val="001743D6"/>
    <w:pPr>
      <w:spacing w:after="0" w:line="240" w:lineRule="auto"/>
    </w:pPr>
    <w:tblPr>
      <w:tblCellMar>
        <w:left w:w="0" w:type="dxa"/>
        <w:right w:w="0" w:type="dxa"/>
      </w:tblCellMar>
    </w:tblPr>
  </w:style>
  <w:style w:type="character" w:customStyle="1" w:styleId="FooterBannerChar">
    <w:name w:val="Footer Banner Char"/>
    <w:basedOn w:val="FooterChar"/>
    <w:link w:val="FooterBanner"/>
    <w:rsid w:val="001743D6"/>
    <w:rPr>
      <w:rFonts w:ascii="Segoe UI" w:hAnsi="Segoe UI" w:cs="Segoe UI"/>
      <w:noProof/>
      <w:color w:val="02747E"/>
      <w:sz w:val="18"/>
      <w:lang w:eastAsia="en-AU"/>
    </w:rPr>
  </w:style>
  <w:style w:type="paragraph" w:styleId="NoSpacing">
    <w:name w:val="No Spacing"/>
    <w:link w:val="NoSpacingChar"/>
    <w:uiPriority w:val="1"/>
    <w:unhideWhenUsed/>
    <w:qFormat/>
    <w:rsid w:val="001743D6"/>
    <w:pPr>
      <w:spacing w:after="0" w:line="240" w:lineRule="auto"/>
    </w:pPr>
    <w:rPr>
      <w:rFonts w:ascii="Segoe UI" w:hAnsi="Segoe UI"/>
    </w:rPr>
  </w:style>
  <w:style w:type="paragraph" w:customStyle="1" w:styleId="TitleBox">
    <w:name w:val="Title Box"/>
    <w:basedOn w:val="Normal"/>
    <w:link w:val="TitleBoxChar"/>
    <w:rsid w:val="001743D6"/>
    <w:pPr>
      <w:framePr w:w="11907" w:wrap="notBeside" w:vAnchor="text" w:hAnchor="page" w:y="1" w:anchorLock="1"/>
      <w:spacing w:before="120" w:after="120" w:line="240" w:lineRule="auto"/>
    </w:pPr>
    <w:rPr>
      <w:rFonts w:ascii="Segoe UI" w:hAnsi="Segoe UI" w:cs="Segoe UI"/>
    </w:rPr>
  </w:style>
  <w:style w:type="character" w:customStyle="1" w:styleId="TitleBoxChar">
    <w:name w:val="Title Box Char"/>
    <w:basedOn w:val="DefaultParagraphFont"/>
    <w:link w:val="TitleBox"/>
    <w:rsid w:val="001743D6"/>
    <w:rPr>
      <w:rFonts w:ascii="Segoe UI" w:hAnsi="Segoe UI" w:cs="Segoe UI"/>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nhideWhenUsed/>
    <w:rsid w:val="001743D6"/>
    <w:rPr>
      <w:vertAlign w:val="superscript"/>
    </w:rPr>
  </w:style>
  <w:style w:type="character" w:customStyle="1" w:styleId="FollowedHyperlink1">
    <w:name w:val="FollowedHyperlink1"/>
    <w:basedOn w:val="DefaultParagraphFont"/>
    <w:uiPriority w:val="99"/>
    <w:unhideWhenUsed/>
    <w:rsid w:val="001743D6"/>
    <w:rPr>
      <w:color w:val="5EAEFF"/>
      <w:u w:val="single"/>
    </w:rPr>
  </w:style>
  <w:style w:type="paragraph" w:customStyle="1" w:styleId="TableText0">
    <w:name w:val="Table Text"/>
    <w:basedOn w:val="Normal"/>
    <w:qFormat/>
    <w:rsid w:val="001743D6"/>
    <w:pPr>
      <w:spacing w:before="80" w:after="80" w:line="240" w:lineRule="auto"/>
    </w:pPr>
    <w:rPr>
      <w:rFonts w:ascii="Verdana" w:eastAsia="Times New Roman" w:hAnsi="Verdana" w:cs="Times New Roman"/>
      <w:sz w:val="20"/>
      <w:szCs w:val="24"/>
      <w:lang w:eastAsia="en-AU"/>
    </w:rPr>
  </w:style>
  <w:style w:type="paragraph" w:customStyle="1" w:styleId="TableHeading">
    <w:name w:val="Table Heading"/>
    <w:basedOn w:val="TableText0"/>
    <w:qFormat/>
    <w:rsid w:val="001743D6"/>
    <w:pPr>
      <w:keepNext/>
    </w:pPr>
    <w:rPr>
      <w:b/>
    </w:rPr>
  </w:style>
  <w:style w:type="paragraph" w:customStyle="1" w:styleId="TableCaption">
    <w:name w:val="Table Caption"/>
    <w:basedOn w:val="Normal"/>
    <w:next w:val="Normal"/>
    <w:rsid w:val="001743D6"/>
    <w:pPr>
      <w:keepNext/>
      <w:spacing w:before="240" w:after="240" w:line="240" w:lineRule="auto"/>
    </w:pPr>
    <w:rPr>
      <w:rFonts w:ascii="Verdana" w:eastAsia="Times New Roman" w:hAnsi="Verdana" w:cs="Times New Roman"/>
      <w:b/>
      <w:sz w:val="20"/>
      <w:szCs w:val="24"/>
      <w:lang w:eastAsia="en-AU"/>
    </w:rPr>
  </w:style>
  <w:style w:type="paragraph" w:styleId="ListBullet">
    <w:name w:val="List Bullet"/>
    <w:basedOn w:val="Normal"/>
    <w:qFormat/>
    <w:rsid w:val="001743D6"/>
    <w:pPr>
      <w:tabs>
        <w:tab w:val="num" w:pos="567"/>
      </w:tabs>
      <w:spacing w:before="240" w:after="0" w:line="240" w:lineRule="auto"/>
      <w:ind w:left="567" w:hanging="567"/>
    </w:pPr>
    <w:rPr>
      <w:rFonts w:ascii="Verdana" w:eastAsia="Times New Roman" w:hAnsi="Verdana" w:cs="Times New Roman"/>
      <w:sz w:val="20"/>
      <w:szCs w:val="24"/>
      <w:lang w:eastAsia="en-AU"/>
    </w:rPr>
  </w:style>
  <w:style w:type="paragraph" w:customStyle="1" w:styleId="Footnote">
    <w:name w:val="Footnote"/>
    <w:next w:val="Normal"/>
    <w:rsid w:val="001743D6"/>
    <w:pPr>
      <w:spacing w:before="60" w:after="60" w:line="240" w:lineRule="auto"/>
    </w:pPr>
    <w:rPr>
      <w:rFonts w:ascii="Verdana" w:eastAsia="Times New Roman" w:hAnsi="Verdana" w:cs="Arial"/>
      <w:bCs/>
      <w:kern w:val="28"/>
      <w:sz w:val="16"/>
      <w:szCs w:val="16"/>
      <w:lang w:eastAsia="en-AU"/>
    </w:rPr>
  </w:style>
  <w:style w:type="paragraph" w:customStyle="1" w:styleId="Text">
    <w:name w:val="Text"/>
    <w:basedOn w:val="Normal"/>
    <w:link w:val="TextChar"/>
    <w:locked/>
    <w:rsid w:val="001743D6"/>
    <w:pPr>
      <w:spacing w:before="120" w:after="60" w:line="240" w:lineRule="auto"/>
      <w:ind w:left="851"/>
    </w:pPr>
    <w:rPr>
      <w:rFonts w:ascii="Arial" w:eastAsia="Times New Roman" w:hAnsi="Arial" w:cs="Times New Roman"/>
      <w:szCs w:val="20"/>
    </w:rPr>
  </w:style>
  <w:style w:type="character" w:customStyle="1" w:styleId="TextChar">
    <w:name w:val="Text Char"/>
    <w:link w:val="Text"/>
    <w:rsid w:val="001743D6"/>
    <w:rPr>
      <w:rFonts w:ascii="Arial" w:eastAsia="Times New Roman" w:hAnsi="Arial" w:cs="Times New Roman"/>
      <w:szCs w:val="20"/>
    </w:rPr>
  </w:style>
  <w:style w:type="character" w:styleId="CommentReference">
    <w:name w:val="annotation reference"/>
    <w:basedOn w:val="DefaultParagraphFont"/>
    <w:uiPriority w:val="99"/>
    <w:unhideWhenUsed/>
    <w:qFormat/>
    <w:rsid w:val="001743D6"/>
    <w:rPr>
      <w:sz w:val="16"/>
      <w:szCs w:val="16"/>
    </w:rPr>
  </w:style>
  <w:style w:type="paragraph" w:styleId="CommentText">
    <w:name w:val="annotation text"/>
    <w:basedOn w:val="Normal"/>
    <w:link w:val="CommentTextChar"/>
    <w:uiPriority w:val="99"/>
    <w:unhideWhenUsed/>
    <w:qFormat/>
    <w:rsid w:val="001743D6"/>
    <w:pPr>
      <w:spacing w:before="120" w:after="0" w:line="22" w:lineRule="atLeast"/>
    </w:pPr>
    <w:rPr>
      <w:rFonts w:ascii="Cambria" w:eastAsia="Calibri" w:hAnsi="Cambria" w:cs="Times New Roman"/>
      <w:sz w:val="20"/>
      <w:szCs w:val="20"/>
    </w:rPr>
  </w:style>
  <w:style w:type="character" w:customStyle="1" w:styleId="CommentTextChar">
    <w:name w:val="Comment Text Char"/>
    <w:basedOn w:val="DefaultParagraphFont"/>
    <w:link w:val="CommentText"/>
    <w:uiPriority w:val="99"/>
    <w:rsid w:val="001743D6"/>
    <w:rPr>
      <w:rFonts w:ascii="Cambria" w:eastAsia="Calibri" w:hAnsi="Cambria" w:cs="Times New Roman"/>
      <w:sz w:val="20"/>
      <w:szCs w:val="20"/>
    </w:rPr>
  </w:style>
  <w:style w:type="paragraph" w:customStyle="1" w:styleId="Bullets">
    <w:name w:val="Bullets"/>
    <w:basedOn w:val="Normal"/>
    <w:qFormat/>
    <w:rsid w:val="001743D6"/>
    <w:pPr>
      <w:numPr>
        <w:numId w:val="5"/>
      </w:numPr>
      <w:spacing w:before="120" w:after="120" w:line="240" w:lineRule="auto"/>
    </w:pPr>
    <w:rPr>
      <w:rFonts w:ascii="Segoe UI Light" w:eastAsia="Times New Roman" w:hAnsi="Segoe UI Light" w:cs="Segoe UI Light"/>
      <w:szCs w:val="20"/>
    </w:rPr>
  </w:style>
  <w:style w:type="numbering" w:customStyle="1" w:styleId="NRCListBullets">
    <w:name w:val="NRC List Bullets"/>
    <w:rsid w:val="001743D6"/>
    <w:pPr>
      <w:numPr>
        <w:numId w:val="5"/>
      </w:numPr>
    </w:pPr>
  </w:style>
  <w:style w:type="paragraph" w:customStyle="1" w:styleId="Default">
    <w:name w:val="Default"/>
    <w:rsid w:val="001743D6"/>
    <w:pPr>
      <w:autoSpaceDE w:val="0"/>
      <w:autoSpaceDN w:val="0"/>
      <w:adjustRightInd w:val="0"/>
      <w:spacing w:after="0" w:line="240" w:lineRule="auto"/>
    </w:pPr>
    <w:rPr>
      <w:rFonts w:ascii="Cambria" w:hAnsi="Cambria" w:cs="Cambria"/>
      <w:color w:val="000000"/>
      <w:sz w:val="24"/>
      <w:szCs w:val="24"/>
    </w:rPr>
  </w:style>
  <w:style w:type="paragraph" w:styleId="ListNumber">
    <w:name w:val="List Number"/>
    <w:basedOn w:val="Normal"/>
    <w:uiPriority w:val="99"/>
    <w:unhideWhenUsed/>
    <w:qFormat/>
    <w:rsid w:val="001743D6"/>
    <w:pPr>
      <w:numPr>
        <w:numId w:val="4"/>
      </w:numPr>
      <w:spacing w:before="120" w:after="120" w:line="240" w:lineRule="auto"/>
      <w:contextualSpacing/>
    </w:pPr>
    <w:rPr>
      <w:rFonts w:ascii="Segoe UI" w:hAnsi="Segoe UI" w:cs="Segoe UI"/>
    </w:rPr>
  </w:style>
  <w:style w:type="paragraph" w:styleId="ListBullet2">
    <w:name w:val="List Bullet 2"/>
    <w:basedOn w:val="Normal"/>
    <w:uiPriority w:val="99"/>
    <w:unhideWhenUsed/>
    <w:qFormat/>
    <w:rsid w:val="001743D6"/>
    <w:pPr>
      <w:numPr>
        <w:numId w:val="3"/>
      </w:numPr>
      <w:spacing w:before="120" w:after="120" w:line="240" w:lineRule="auto"/>
      <w:contextualSpacing/>
    </w:pPr>
    <w:rPr>
      <w:rFonts w:ascii="Segoe UI" w:hAnsi="Segoe UI" w:cs="Segoe UI"/>
    </w:rPr>
  </w:style>
  <w:style w:type="character" w:customStyle="1" w:styleId="A4">
    <w:name w:val="A4"/>
    <w:uiPriority w:val="99"/>
    <w:rsid w:val="001743D6"/>
    <w:rPr>
      <w:rFonts w:cs="Univers 55"/>
      <w:color w:val="000000"/>
      <w:sz w:val="36"/>
      <w:szCs w:val="36"/>
    </w:rPr>
  </w:style>
  <w:style w:type="paragraph" w:customStyle="1" w:styleId="Pa9">
    <w:name w:val="Pa9"/>
    <w:basedOn w:val="Default"/>
    <w:next w:val="Default"/>
    <w:uiPriority w:val="99"/>
    <w:rsid w:val="001743D6"/>
    <w:pPr>
      <w:spacing w:line="181" w:lineRule="atLeast"/>
    </w:pPr>
    <w:rPr>
      <w:rFonts w:ascii="Univers 55" w:hAnsi="Univers 55" w:cs="Majalla UI"/>
      <w:color w:val="auto"/>
    </w:rPr>
  </w:style>
  <w:style w:type="character" w:styleId="Emphasis">
    <w:name w:val="Emphasis"/>
    <w:basedOn w:val="DefaultParagraphFont"/>
    <w:uiPriority w:val="20"/>
    <w:qFormat/>
    <w:rsid w:val="001743D6"/>
    <w:rPr>
      <w:i/>
      <w:iCs/>
    </w:rPr>
  </w:style>
  <w:style w:type="character" w:customStyle="1" w:styleId="A15">
    <w:name w:val="A15"/>
    <w:uiPriority w:val="99"/>
    <w:rsid w:val="001743D6"/>
    <w:rPr>
      <w:rFonts w:cs="AGaramond"/>
      <w:color w:val="000000"/>
      <w:sz w:val="13"/>
      <w:szCs w:val="13"/>
    </w:rPr>
  </w:style>
  <w:style w:type="paragraph" w:styleId="NormalWeb">
    <w:name w:val="Normal (Web)"/>
    <w:basedOn w:val="Normal"/>
    <w:uiPriority w:val="99"/>
    <w:semiHidden/>
    <w:unhideWhenUsed/>
    <w:rsid w:val="001743D6"/>
    <w:pPr>
      <w:spacing w:after="158" w:line="240" w:lineRule="auto"/>
    </w:pPr>
    <w:rPr>
      <w:rFonts w:ascii="Times New Roman" w:eastAsia="Times New Roman" w:hAnsi="Times New Roman" w:cs="Times New Roman"/>
      <w:sz w:val="24"/>
      <w:szCs w:val="24"/>
      <w:lang w:eastAsia="en-AU"/>
    </w:rPr>
  </w:style>
  <w:style w:type="paragraph" w:customStyle="1" w:styleId="CommentSubject1">
    <w:name w:val="Comment Subject1"/>
    <w:basedOn w:val="CommentText"/>
    <w:next w:val="CommentText"/>
    <w:uiPriority w:val="99"/>
    <w:semiHidden/>
    <w:unhideWhenUsed/>
    <w:rsid w:val="001743D6"/>
    <w:pPr>
      <w:spacing w:after="120"/>
    </w:pPr>
    <w:rPr>
      <w:rFonts w:ascii="Segoe UI" w:eastAsia="Gill Sans MT" w:hAnsi="Segoe UI" w:cs="Majalla UI"/>
      <w:b/>
      <w:bCs/>
    </w:rPr>
  </w:style>
  <w:style w:type="character" w:customStyle="1" w:styleId="CommentSubjectChar">
    <w:name w:val="Comment Subject Char"/>
    <w:basedOn w:val="CommentTextChar"/>
    <w:link w:val="CommentSubject"/>
    <w:uiPriority w:val="99"/>
    <w:semiHidden/>
    <w:rsid w:val="001743D6"/>
    <w:rPr>
      <w:rFonts w:ascii="Cambria" w:eastAsia="Calibri" w:hAnsi="Cambria" w:cs="Times New Roman"/>
      <w:b/>
      <w:bCs/>
      <w:sz w:val="20"/>
      <w:szCs w:val="20"/>
    </w:rPr>
  </w:style>
  <w:style w:type="paragraph" w:customStyle="1" w:styleId="Pa20">
    <w:name w:val="Pa20"/>
    <w:basedOn w:val="Default"/>
    <w:next w:val="Default"/>
    <w:uiPriority w:val="99"/>
    <w:rsid w:val="001743D6"/>
    <w:pPr>
      <w:spacing w:line="141" w:lineRule="atLeast"/>
    </w:pPr>
    <w:rPr>
      <w:rFonts w:ascii="FS Me Light" w:hAnsi="FS Me Light" w:cs="Majalla UI"/>
      <w:color w:val="auto"/>
    </w:rPr>
  </w:style>
  <w:style w:type="character" w:customStyle="1" w:styleId="A29">
    <w:name w:val="A29"/>
    <w:uiPriority w:val="99"/>
    <w:rsid w:val="001743D6"/>
    <w:rPr>
      <w:rFonts w:cs="FS Me Light"/>
      <w:color w:val="000000"/>
      <w:sz w:val="9"/>
      <w:szCs w:val="9"/>
    </w:rPr>
  </w:style>
  <w:style w:type="paragraph" w:customStyle="1" w:styleId="Pa22">
    <w:name w:val="Pa22"/>
    <w:basedOn w:val="Default"/>
    <w:next w:val="Default"/>
    <w:uiPriority w:val="99"/>
    <w:rsid w:val="001743D6"/>
    <w:pPr>
      <w:spacing w:line="141" w:lineRule="atLeast"/>
    </w:pPr>
    <w:rPr>
      <w:rFonts w:ascii="FS Me Light" w:hAnsi="FS Me Light" w:cs="Majalla UI"/>
      <w:color w:val="auto"/>
    </w:rPr>
  </w:style>
  <w:style w:type="paragraph" w:customStyle="1" w:styleId="Pa4">
    <w:name w:val="Pa4"/>
    <w:basedOn w:val="Default"/>
    <w:next w:val="Default"/>
    <w:uiPriority w:val="99"/>
    <w:rsid w:val="001743D6"/>
    <w:pPr>
      <w:spacing w:line="201" w:lineRule="atLeast"/>
    </w:pPr>
    <w:rPr>
      <w:rFonts w:ascii="Arial" w:hAnsi="Arial" w:cs="Arial"/>
      <w:color w:val="auto"/>
    </w:rPr>
  </w:style>
  <w:style w:type="paragraph" w:customStyle="1" w:styleId="Pa5">
    <w:name w:val="Pa5"/>
    <w:basedOn w:val="Default"/>
    <w:next w:val="Default"/>
    <w:uiPriority w:val="99"/>
    <w:rsid w:val="001743D6"/>
    <w:pPr>
      <w:spacing w:line="201" w:lineRule="atLeast"/>
    </w:pPr>
    <w:rPr>
      <w:rFonts w:ascii="Arial" w:hAnsi="Arial" w:cs="Arial"/>
      <w:color w:val="auto"/>
    </w:rPr>
  </w:style>
  <w:style w:type="character" w:customStyle="1" w:styleId="A6">
    <w:name w:val="A6"/>
    <w:uiPriority w:val="99"/>
    <w:rsid w:val="001743D6"/>
    <w:rPr>
      <w:color w:val="000000"/>
      <w:sz w:val="20"/>
      <w:szCs w:val="20"/>
    </w:rPr>
  </w:style>
  <w:style w:type="paragraph" w:customStyle="1" w:styleId="Pa49">
    <w:name w:val="Pa49"/>
    <w:basedOn w:val="Default"/>
    <w:next w:val="Default"/>
    <w:uiPriority w:val="99"/>
    <w:rsid w:val="001743D6"/>
    <w:pPr>
      <w:spacing w:line="131" w:lineRule="atLeast"/>
    </w:pPr>
    <w:rPr>
      <w:rFonts w:ascii="FS Me Light" w:hAnsi="FS Me Light" w:cs="Majalla UI"/>
      <w:color w:val="auto"/>
    </w:rPr>
  </w:style>
  <w:style w:type="character" w:customStyle="1" w:styleId="A40">
    <w:name w:val="A40"/>
    <w:uiPriority w:val="99"/>
    <w:rsid w:val="001743D6"/>
    <w:rPr>
      <w:rFonts w:cs="FS Me Light"/>
      <w:color w:val="000000"/>
      <w:sz w:val="13"/>
      <w:szCs w:val="13"/>
      <w:u w:val="single"/>
    </w:rPr>
  </w:style>
  <w:style w:type="paragraph" w:customStyle="1" w:styleId="Pa15">
    <w:name w:val="Pa15"/>
    <w:basedOn w:val="Default"/>
    <w:next w:val="Default"/>
    <w:uiPriority w:val="99"/>
    <w:rsid w:val="001743D6"/>
    <w:pPr>
      <w:spacing w:line="201" w:lineRule="atLeast"/>
    </w:pPr>
    <w:rPr>
      <w:rFonts w:ascii="AGaramond" w:hAnsi="AGaramond" w:cs="Majalla UI"/>
      <w:color w:val="auto"/>
    </w:rPr>
  </w:style>
  <w:style w:type="paragraph" w:customStyle="1" w:styleId="Pa31">
    <w:name w:val="Pa31"/>
    <w:basedOn w:val="Default"/>
    <w:next w:val="Default"/>
    <w:uiPriority w:val="99"/>
    <w:rsid w:val="001743D6"/>
    <w:pPr>
      <w:spacing w:line="201" w:lineRule="atLeast"/>
    </w:pPr>
    <w:rPr>
      <w:rFonts w:ascii="AGaramond" w:hAnsi="AGaramond" w:cs="Majalla UI"/>
      <w:color w:val="auto"/>
    </w:rPr>
  </w:style>
  <w:style w:type="paragraph" w:customStyle="1" w:styleId="font5">
    <w:name w:val="font5"/>
    <w:basedOn w:val="Normal"/>
    <w:rsid w:val="001743D6"/>
    <w:pPr>
      <w:spacing w:before="100" w:beforeAutospacing="1" w:after="100" w:afterAutospacing="1" w:line="240" w:lineRule="auto"/>
    </w:pPr>
    <w:rPr>
      <w:rFonts w:ascii="Calibri" w:eastAsia="Times New Roman" w:hAnsi="Calibri" w:cs="Times New Roman"/>
      <w:color w:val="000000"/>
      <w:sz w:val="18"/>
      <w:szCs w:val="18"/>
      <w:lang w:eastAsia="en-AU"/>
    </w:rPr>
  </w:style>
  <w:style w:type="paragraph" w:customStyle="1" w:styleId="xl65">
    <w:name w:val="xl65"/>
    <w:basedOn w:val="Normal"/>
    <w:rsid w:val="001743D6"/>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66">
    <w:name w:val="xl66"/>
    <w:basedOn w:val="Normal"/>
    <w:rsid w:val="001743D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7">
    <w:name w:val="xl67"/>
    <w:basedOn w:val="Normal"/>
    <w:rsid w:val="001743D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8">
    <w:name w:val="xl68"/>
    <w:basedOn w:val="Normal"/>
    <w:rsid w:val="001743D6"/>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69">
    <w:name w:val="xl69"/>
    <w:basedOn w:val="Normal"/>
    <w:rsid w:val="001743D6"/>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Pa51">
    <w:name w:val="Pa51"/>
    <w:basedOn w:val="Default"/>
    <w:next w:val="Default"/>
    <w:uiPriority w:val="99"/>
    <w:rsid w:val="001743D6"/>
    <w:pPr>
      <w:spacing w:line="131" w:lineRule="atLeast"/>
    </w:pPr>
    <w:rPr>
      <w:rFonts w:ascii="FS Me Light" w:hAnsi="FS Me Light" w:cs="Majalla UI"/>
      <w:color w:val="auto"/>
    </w:rPr>
  </w:style>
  <w:style w:type="paragraph" w:customStyle="1" w:styleId="Pa36">
    <w:name w:val="Pa36"/>
    <w:basedOn w:val="Default"/>
    <w:next w:val="Default"/>
    <w:uiPriority w:val="99"/>
    <w:rsid w:val="001743D6"/>
    <w:pPr>
      <w:spacing w:line="131" w:lineRule="atLeast"/>
    </w:pPr>
    <w:rPr>
      <w:rFonts w:ascii="FS Me Light" w:hAnsi="FS Me Light" w:cs="Majalla UI"/>
      <w:color w:val="auto"/>
    </w:rPr>
  </w:style>
  <w:style w:type="character" w:customStyle="1" w:styleId="A9">
    <w:name w:val="A9"/>
    <w:uiPriority w:val="99"/>
    <w:rsid w:val="001743D6"/>
    <w:rPr>
      <w:rFonts w:cs="FS Me Light"/>
      <w:color w:val="000000"/>
      <w:sz w:val="13"/>
      <w:szCs w:val="13"/>
    </w:rPr>
  </w:style>
  <w:style w:type="paragraph" w:styleId="Revision">
    <w:name w:val="Revision"/>
    <w:hidden/>
    <w:uiPriority w:val="99"/>
    <w:semiHidden/>
    <w:rsid w:val="001743D6"/>
    <w:pPr>
      <w:spacing w:after="0" w:line="240" w:lineRule="auto"/>
    </w:pPr>
    <w:rPr>
      <w:rFonts w:ascii="Segoe UI" w:hAnsi="Segoe UI"/>
    </w:rPr>
  </w:style>
  <w:style w:type="paragraph" w:customStyle="1" w:styleId="Note">
    <w:name w:val="Note"/>
    <w:basedOn w:val="Normal"/>
    <w:qFormat/>
    <w:rsid w:val="001743D6"/>
    <w:pPr>
      <w:spacing w:before="60" w:after="60" w:line="240" w:lineRule="auto"/>
      <w:ind w:left="284" w:right="284"/>
    </w:pPr>
    <w:rPr>
      <w:rFonts w:ascii="Arial" w:eastAsia="STZhongsong" w:hAnsi="Arial" w:cs="Segoe UI"/>
      <w:sz w:val="18"/>
      <w:szCs w:val="24"/>
    </w:rPr>
  </w:style>
  <w:style w:type="paragraph" w:customStyle="1" w:styleId="Tabletext1">
    <w:name w:val="Table text"/>
    <w:basedOn w:val="BodyText"/>
    <w:link w:val="TabletextChar"/>
    <w:rsid w:val="001743D6"/>
    <w:pPr>
      <w:spacing w:before="60" w:after="60"/>
    </w:pPr>
    <w:rPr>
      <w:rFonts w:ascii="Arial" w:eastAsia="Times New Roman" w:hAnsi="Arial" w:cs="Times New Roman"/>
      <w:sz w:val="18"/>
      <w:szCs w:val="20"/>
    </w:rPr>
  </w:style>
  <w:style w:type="paragraph" w:customStyle="1" w:styleId="Tablefigure">
    <w:name w:val="Table figure"/>
    <w:basedOn w:val="Tabletext1"/>
    <w:rsid w:val="001743D6"/>
    <w:pPr>
      <w:jc w:val="right"/>
    </w:pPr>
  </w:style>
  <w:style w:type="paragraph" w:customStyle="1" w:styleId="Tableheading0">
    <w:name w:val="Table heading"/>
    <w:basedOn w:val="Tabletext1"/>
    <w:rsid w:val="001743D6"/>
    <w:pPr>
      <w:keepNext/>
    </w:pPr>
    <w:rPr>
      <w:b/>
    </w:rPr>
  </w:style>
  <w:style w:type="table" w:customStyle="1" w:styleId="TableGrid3">
    <w:name w:val="Table Grid3"/>
    <w:basedOn w:val="TableNormal"/>
    <w:next w:val="TableGrid"/>
    <w:uiPriority w:val="59"/>
    <w:rsid w:val="001743D6"/>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1"/>
    <w:rsid w:val="001743D6"/>
    <w:rPr>
      <w:rFonts w:ascii="Arial" w:eastAsia="Times New Roman" w:hAnsi="Arial" w:cs="Times New Roman"/>
      <w:sz w:val="18"/>
      <w:szCs w:val="20"/>
    </w:rPr>
  </w:style>
  <w:style w:type="paragraph" w:styleId="BodyText">
    <w:name w:val="Body Text"/>
    <w:basedOn w:val="Normal"/>
    <w:link w:val="BodyTextChar"/>
    <w:unhideWhenUsed/>
    <w:qFormat/>
    <w:rsid w:val="001743D6"/>
    <w:pPr>
      <w:spacing w:before="120" w:after="120" w:line="240" w:lineRule="auto"/>
    </w:pPr>
    <w:rPr>
      <w:rFonts w:ascii="Segoe UI" w:hAnsi="Segoe UI" w:cs="Segoe UI"/>
    </w:rPr>
  </w:style>
  <w:style w:type="character" w:customStyle="1" w:styleId="BodyTextChar">
    <w:name w:val="Body Text Char"/>
    <w:basedOn w:val="DefaultParagraphFont"/>
    <w:link w:val="BodyText"/>
    <w:rsid w:val="001743D6"/>
    <w:rPr>
      <w:rFonts w:ascii="Segoe UI" w:hAnsi="Segoe UI" w:cs="Segoe UI"/>
    </w:rPr>
  </w:style>
  <w:style w:type="character" w:customStyle="1" w:styleId="ListParagraphChar">
    <w:name w:val="List Paragraph Char"/>
    <w:aliases w:val="List Paragraph1 Char,List Paragraph11 Char,Recommendation Char,NFP GP Bulleted List Char,List Paragraph2 Char,FooterText Char,numbered Char,Paragraphe de liste1 Char,Bulletr List Paragraph Char,列出段落 Char,列出段落1 Char,Listeafsnit1 Char"/>
    <w:basedOn w:val="DefaultParagraphFont"/>
    <w:link w:val="ListParagraph"/>
    <w:uiPriority w:val="34"/>
    <w:rsid w:val="001743D6"/>
    <w:rPr>
      <w:rFonts w:ascii="Segoe UI" w:hAnsi="Segoe UI" w:cs="Segoe UI"/>
    </w:rPr>
  </w:style>
  <w:style w:type="character" w:customStyle="1" w:styleId="CaptionChar">
    <w:name w:val="Caption Char"/>
    <w:aliases w:val="Figure text or caption Char"/>
    <w:basedOn w:val="DefaultParagraphFont"/>
    <w:link w:val="Caption"/>
    <w:rsid w:val="001743D6"/>
    <w:rPr>
      <w:rFonts w:ascii="Segoe UI Semibold" w:eastAsia="Times New Roman" w:hAnsi="Segoe UI Semibold" w:cs="Times New Roman"/>
      <w:color w:val="016295"/>
    </w:rPr>
  </w:style>
  <w:style w:type="paragraph" w:customStyle="1" w:styleId="Quote1">
    <w:name w:val="Quote1"/>
    <w:basedOn w:val="Normal"/>
    <w:next w:val="Quote"/>
    <w:link w:val="QuoteChar"/>
    <w:qFormat/>
    <w:rsid w:val="001743D6"/>
    <w:pPr>
      <w:tabs>
        <w:tab w:val="left" w:pos="1134"/>
      </w:tabs>
      <w:spacing w:before="120" w:after="120" w:line="240" w:lineRule="atLeast"/>
      <w:ind w:left="284"/>
    </w:pPr>
    <w:rPr>
      <w:rFonts w:ascii="Segoe UI" w:eastAsia="Times New Roman" w:hAnsi="Segoe UI" w:cs="Arial"/>
      <w:i/>
      <w:iCs/>
      <w:color w:val="000000"/>
      <w:sz w:val="20"/>
      <w:szCs w:val="20"/>
      <w:lang w:eastAsia="en-AU"/>
    </w:rPr>
  </w:style>
  <w:style w:type="character" w:customStyle="1" w:styleId="QuoteChar">
    <w:name w:val="Quote Char"/>
    <w:basedOn w:val="DefaultParagraphFont"/>
    <w:link w:val="Quote1"/>
    <w:rsid w:val="001743D6"/>
    <w:rPr>
      <w:rFonts w:ascii="Segoe UI" w:eastAsia="Times New Roman" w:hAnsi="Segoe UI" w:cs="Arial"/>
      <w:i/>
      <w:iCs/>
      <w:color w:val="000000"/>
      <w:sz w:val="20"/>
      <w:szCs w:val="20"/>
      <w:lang w:eastAsia="en-AU"/>
    </w:rPr>
  </w:style>
  <w:style w:type="character" w:customStyle="1" w:styleId="NoSpacingChar">
    <w:name w:val="No Spacing Char"/>
    <w:basedOn w:val="DefaultParagraphFont"/>
    <w:link w:val="NoSpacing"/>
    <w:uiPriority w:val="1"/>
    <w:rsid w:val="001743D6"/>
    <w:rPr>
      <w:rFonts w:ascii="Segoe UI" w:hAnsi="Segoe UI"/>
    </w:rPr>
  </w:style>
  <w:style w:type="paragraph" w:customStyle="1" w:styleId="SOETableHeading1">
    <w:name w:val="SOE Table Heading 1"/>
    <w:basedOn w:val="Normal"/>
    <w:qFormat/>
    <w:rsid w:val="001743D6"/>
    <w:pPr>
      <w:spacing w:after="0" w:line="240" w:lineRule="auto"/>
    </w:pPr>
    <w:rPr>
      <w:rFonts w:ascii="Calibri" w:eastAsia="STZhongsong" w:hAnsi="Calibri" w:cs="Segoe UI"/>
      <w:b/>
      <w:sz w:val="20"/>
      <w:szCs w:val="20"/>
      <w:lang w:eastAsia="ko-KR"/>
    </w:rPr>
  </w:style>
  <w:style w:type="paragraph" w:customStyle="1" w:styleId="SOETableNumeral">
    <w:name w:val="SOE Table Numeral"/>
    <w:basedOn w:val="Normal"/>
    <w:qFormat/>
    <w:rsid w:val="001743D6"/>
    <w:pPr>
      <w:spacing w:after="0" w:line="240" w:lineRule="auto"/>
      <w:jc w:val="right"/>
    </w:pPr>
    <w:rPr>
      <w:rFonts w:ascii="Calibri" w:eastAsia="STZhongsong" w:hAnsi="Calibri" w:cs="Segoe UI"/>
      <w:sz w:val="20"/>
      <w:szCs w:val="20"/>
      <w:lang w:eastAsia="ko-KR"/>
    </w:rPr>
  </w:style>
  <w:style w:type="paragraph" w:customStyle="1" w:styleId="SOETableText">
    <w:name w:val="SOE Table Text"/>
    <w:basedOn w:val="Normal"/>
    <w:qFormat/>
    <w:rsid w:val="001743D6"/>
    <w:pPr>
      <w:spacing w:after="0" w:line="240" w:lineRule="auto"/>
    </w:pPr>
    <w:rPr>
      <w:rFonts w:ascii="Calibri" w:eastAsia="STZhongsong" w:hAnsi="Calibri" w:cs="Segoe UI"/>
      <w:sz w:val="20"/>
      <w:szCs w:val="20"/>
      <w:lang w:eastAsia="ko-KR"/>
    </w:rPr>
  </w:style>
  <w:style w:type="paragraph" w:customStyle="1" w:styleId="SOEFigureNote">
    <w:name w:val="SOE Figure Note"/>
    <w:basedOn w:val="SOEFigureDataSource"/>
    <w:qFormat/>
    <w:rsid w:val="001743D6"/>
    <w:pPr>
      <w:spacing w:after="0"/>
    </w:pPr>
  </w:style>
  <w:style w:type="paragraph" w:customStyle="1" w:styleId="SOEFigureDataSource">
    <w:name w:val="SOE Figure Data Source"/>
    <w:basedOn w:val="Normal"/>
    <w:qFormat/>
    <w:rsid w:val="001743D6"/>
    <w:pPr>
      <w:spacing w:line="240" w:lineRule="auto"/>
    </w:pPr>
    <w:rPr>
      <w:rFonts w:ascii="Calibri" w:eastAsia="STZhongsong" w:hAnsi="Calibri" w:cs="Segoe UI"/>
      <w:bCs/>
      <w:sz w:val="20"/>
      <w:szCs w:val="20"/>
      <w:lang w:eastAsia="ko-KR"/>
    </w:rPr>
  </w:style>
  <w:style w:type="paragraph" w:customStyle="1" w:styleId="SOEListLevel1">
    <w:name w:val="SOE List Level 1"/>
    <w:basedOn w:val="ListParagraph"/>
    <w:qFormat/>
    <w:rsid w:val="001743D6"/>
    <w:pPr>
      <w:numPr>
        <w:numId w:val="6"/>
      </w:numPr>
      <w:spacing w:before="0" w:after="160" w:line="259" w:lineRule="auto"/>
    </w:pPr>
    <w:rPr>
      <w:rFonts w:ascii="Calibri" w:eastAsia="Calibri" w:hAnsi="Calibri" w:cs="Calibri"/>
      <w:lang w:eastAsia="ko-KR"/>
    </w:rPr>
  </w:style>
  <w:style w:type="paragraph" w:customStyle="1" w:styleId="Subtitle1">
    <w:name w:val="Subtitle1"/>
    <w:basedOn w:val="Normal"/>
    <w:next w:val="Normal"/>
    <w:uiPriority w:val="11"/>
    <w:qFormat/>
    <w:rsid w:val="001743D6"/>
    <w:pPr>
      <w:numPr>
        <w:ilvl w:val="1"/>
      </w:numPr>
    </w:pPr>
    <w:rPr>
      <w:rFonts w:ascii="Gill Sans MT" w:eastAsia="STZhongsong" w:hAnsi="Gill Sans MT" w:cs="Segoe UI"/>
      <w:i/>
      <w:color w:val="404040"/>
      <w:spacing w:val="15"/>
      <w:sz w:val="24"/>
    </w:rPr>
  </w:style>
  <w:style w:type="character" w:customStyle="1" w:styleId="SubtitleChar">
    <w:name w:val="Subtitle Char"/>
    <w:basedOn w:val="DefaultParagraphFont"/>
    <w:link w:val="Subtitle"/>
    <w:uiPriority w:val="23"/>
    <w:rsid w:val="001743D6"/>
    <w:rPr>
      <w:rFonts w:ascii="Gill Sans MT" w:eastAsia="STZhongsong" w:hAnsi="Gill Sans MT"/>
      <w:i/>
      <w:color w:val="404040"/>
      <w:spacing w:val="15"/>
      <w:sz w:val="24"/>
    </w:rPr>
  </w:style>
  <w:style w:type="paragraph" w:customStyle="1" w:styleId="SOEBodyTextLead-in">
    <w:name w:val="SOE Body Text Lead-in"/>
    <w:qFormat/>
    <w:rsid w:val="001743D6"/>
    <w:pPr>
      <w:spacing w:after="0"/>
      <w:jc w:val="both"/>
    </w:pPr>
    <w:rPr>
      <w:rFonts w:ascii="Calibri" w:eastAsia="STZhongsong" w:hAnsi="Calibri"/>
      <w:lang w:eastAsia="ko-KR"/>
    </w:rPr>
  </w:style>
  <w:style w:type="paragraph" w:customStyle="1" w:styleId="SOENumberedList">
    <w:name w:val="SOE Numbered List"/>
    <w:basedOn w:val="ListParagraph"/>
    <w:qFormat/>
    <w:rsid w:val="001743D6"/>
    <w:pPr>
      <w:numPr>
        <w:numId w:val="7"/>
      </w:numPr>
      <w:tabs>
        <w:tab w:val="num" w:pos="360"/>
      </w:tabs>
      <w:spacing w:before="0" w:after="160" w:line="259" w:lineRule="auto"/>
      <w:ind w:firstLine="0"/>
    </w:pPr>
    <w:rPr>
      <w:rFonts w:ascii="Gill Sans MT" w:eastAsia="STZhongsong" w:hAnsi="Gill Sans MT"/>
      <w:lang w:eastAsia="ko-KR"/>
    </w:rPr>
  </w:style>
  <w:style w:type="paragraph" w:customStyle="1" w:styleId="SOEBodyText">
    <w:name w:val="SOE Body Text"/>
    <w:basedOn w:val="Normal"/>
    <w:qFormat/>
    <w:rsid w:val="001743D6"/>
    <w:pPr>
      <w:jc w:val="both"/>
    </w:pPr>
    <w:rPr>
      <w:rFonts w:ascii="Calibri" w:eastAsia="STZhongsong" w:hAnsi="Calibri" w:cs="Segoe UI"/>
      <w:lang w:eastAsia="ko-KR"/>
    </w:rPr>
  </w:style>
  <w:style w:type="character" w:customStyle="1" w:styleId="UnresolvedMention1">
    <w:name w:val="Unresolved Mention1"/>
    <w:basedOn w:val="DefaultParagraphFont"/>
    <w:uiPriority w:val="99"/>
    <w:semiHidden/>
    <w:unhideWhenUsed/>
    <w:rsid w:val="001743D6"/>
    <w:rPr>
      <w:color w:val="605E5C"/>
      <w:shd w:val="clear" w:color="auto" w:fill="E1DFDD"/>
    </w:rPr>
  </w:style>
  <w:style w:type="paragraph" w:styleId="ListBullet3">
    <w:name w:val="List Bullet 3"/>
    <w:basedOn w:val="Normal"/>
    <w:uiPriority w:val="99"/>
    <w:unhideWhenUsed/>
    <w:rsid w:val="001743D6"/>
    <w:pPr>
      <w:numPr>
        <w:numId w:val="8"/>
      </w:numPr>
      <w:tabs>
        <w:tab w:val="num" w:pos="360"/>
      </w:tabs>
      <w:spacing w:before="120" w:after="120" w:line="240" w:lineRule="auto"/>
      <w:ind w:left="0" w:firstLine="0"/>
      <w:contextualSpacing/>
    </w:pPr>
    <w:rPr>
      <w:rFonts w:ascii="Segoe UI" w:hAnsi="Segoe UI" w:cs="Segoe UI"/>
    </w:rPr>
  </w:style>
  <w:style w:type="paragraph" w:styleId="BodyTextIndent2">
    <w:name w:val="Body Text Indent 2"/>
    <w:basedOn w:val="Normal"/>
    <w:link w:val="BodyTextIndent2Char"/>
    <w:semiHidden/>
    <w:unhideWhenUsed/>
    <w:rsid w:val="001743D6"/>
    <w:pPr>
      <w:spacing w:before="120" w:after="120" w:line="480" w:lineRule="auto"/>
      <w:ind w:left="283"/>
    </w:pPr>
    <w:rPr>
      <w:rFonts w:ascii="Segoe UI" w:hAnsi="Segoe UI" w:cs="Segoe UI"/>
    </w:rPr>
  </w:style>
  <w:style w:type="character" w:customStyle="1" w:styleId="BodyTextIndent2Char">
    <w:name w:val="Body Text Indent 2 Char"/>
    <w:basedOn w:val="DefaultParagraphFont"/>
    <w:link w:val="BodyTextIndent2"/>
    <w:semiHidden/>
    <w:rsid w:val="001743D6"/>
    <w:rPr>
      <w:rFonts w:ascii="Segoe UI" w:hAnsi="Segoe UI" w:cs="Segoe UI"/>
    </w:rPr>
  </w:style>
  <w:style w:type="paragraph" w:customStyle="1" w:styleId="Tablehead">
    <w:name w:val="Table head"/>
    <w:basedOn w:val="Normal"/>
    <w:rsid w:val="001743D6"/>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val="en-US" w:eastAsia="en-AU"/>
    </w:rPr>
  </w:style>
  <w:style w:type="paragraph" w:styleId="EndnoteText">
    <w:name w:val="endnote text"/>
    <w:basedOn w:val="Normal"/>
    <w:link w:val="EndnoteTextChar"/>
    <w:uiPriority w:val="99"/>
    <w:semiHidden/>
    <w:unhideWhenUsed/>
    <w:rsid w:val="001743D6"/>
    <w:pPr>
      <w:spacing w:after="0" w:line="240" w:lineRule="auto"/>
    </w:pPr>
    <w:rPr>
      <w:rFonts w:ascii="Segoe UI" w:hAnsi="Segoe UI" w:cs="Segoe UI"/>
      <w:sz w:val="20"/>
      <w:szCs w:val="20"/>
    </w:rPr>
  </w:style>
  <w:style w:type="character" w:customStyle="1" w:styleId="EndnoteTextChar">
    <w:name w:val="Endnote Text Char"/>
    <w:basedOn w:val="DefaultParagraphFont"/>
    <w:link w:val="EndnoteText"/>
    <w:uiPriority w:val="99"/>
    <w:semiHidden/>
    <w:rsid w:val="001743D6"/>
    <w:rPr>
      <w:rFonts w:ascii="Segoe UI" w:hAnsi="Segoe UI" w:cs="Segoe UI"/>
      <w:sz w:val="20"/>
      <w:szCs w:val="20"/>
    </w:rPr>
  </w:style>
  <w:style w:type="character" w:styleId="EndnoteReference">
    <w:name w:val="endnote reference"/>
    <w:basedOn w:val="DefaultParagraphFont"/>
    <w:uiPriority w:val="99"/>
    <w:semiHidden/>
    <w:unhideWhenUsed/>
    <w:rsid w:val="001743D6"/>
    <w:rPr>
      <w:vertAlign w:val="superscript"/>
    </w:rPr>
  </w:style>
  <w:style w:type="paragraph" w:customStyle="1" w:styleId="paragraph">
    <w:name w:val="paragraph"/>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743D6"/>
  </w:style>
  <w:style w:type="character" w:customStyle="1" w:styleId="eop">
    <w:name w:val="eop"/>
    <w:basedOn w:val="DefaultParagraphFont"/>
    <w:rsid w:val="001743D6"/>
  </w:style>
  <w:style w:type="character" w:customStyle="1" w:styleId="spellingerror">
    <w:name w:val="spellingerror"/>
    <w:basedOn w:val="DefaultParagraphFont"/>
    <w:rsid w:val="001743D6"/>
  </w:style>
  <w:style w:type="character" w:customStyle="1" w:styleId="contextualspellingandgrammarerror">
    <w:name w:val="contextualspellingandgrammarerror"/>
    <w:basedOn w:val="DefaultParagraphFont"/>
    <w:rsid w:val="001743D6"/>
  </w:style>
  <w:style w:type="paragraph" w:customStyle="1" w:styleId="msonormal0">
    <w:name w:val="msonormal"/>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Left">
    <w:name w:val="Table Heading Left"/>
    <w:basedOn w:val="TableTextLeft"/>
    <w:qFormat/>
    <w:rsid w:val="001743D6"/>
    <w:pPr>
      <w:keepNext/>
      <w:keepLines/>
    </w:pPr>
    <w:rPr>
      <w:b/>
    </w:rPr>
  </w:style>
  <w:style w:type="paragraph" w:customStyle="1" w:styleId="TableTextLeft">
    <w:name w:val="Table Text Left"/>
    <w:basedOn w:val="Normal"/>
    <w:link w:val="TableTextLeftChar"/>
    <w:qFormat/>
    <w:rsid w:val="001743D6"/>
    <w:pPr>
      <w:spacing w:before="60" w:after="60" w:line="220" w:lineRule="atLeast"/>
      <w:ind w:left="113" w:right="113"/>
    </w:pPr>
    <w:rPr>
      <w:rFonts w:ascii="Segoe UI" w:eastAsia="Times New Roman" w:hAnsi="Segoe UI" w:cs="Arial"/>
      <w:color w:val="000000"/>
      <w:sz w:val="18"/>
      <w:szCs w:val="20"/>
      <w:lang w:eastAsia="en-AU"/>
    </w:rPr>
  </w:style>
  <w:style w:type="character" w:styleId="SubtleEmphasis">
    <w:name w:val="Subtle Emphasis"/>
    <w:basedOn w:val="DefaultParagraphFont"/>
    <w:uiPriority w:val="19"/>
    <w:qFormat/>
    <w:rsid w:val="001743D6"/>
    <w:rPr>
      <w:i/>
      <w:iCs/>
      <w:color w:val="404040" w:themeColor="text1" w:themeTint="BF"/>
    </w:rPr>
  </w:style>
  <w:style w:type="paragraph" w:styleId="Footer">
    <w:name w:val="footer"/>
    <w:basedOn w:val="Normal"/>
    <w:link w:val="FooterChar1"/>
    <w:uiPriority w:val="99"/>
    <w:unhideWhenUsed/>
    <w:rsid w:val="001743D6"/>
    <w:pPr>
      <w:tabs>
        <w:tab w:val="center" w:pos="4513"/>
        <w:tab w:val="right" w:pos="9026"/>
      </w:tabs>
      <w:spacing w:after="0" w:line="240" w:lineRule="auto"/>
    </w:pPr>
    <w:rPr>
      <w:rFonts w:ascii="Segoe UI" w:hAnsi="Segoe UI" w:cs="Segoe UI"/>
    </w:rPr>
  </w:style>
  <w:style w:type="character" w:customStyle="1" w:styleId="FooterChar1">
    <w:name w:val="Footer Char1"/>
    <w:basedOn w:val="DefaultParagraphFont"/>
    <w:link w:val="Footer"/>
    <w:uiPriority w:val="99"/>
    <w:rsid w:val="001743D6"/>
    <w:rPr>
      <w:rFonts w:ascii="Segoe UI" w:hAnsi="Segoe UI" w:cs="Segoe UI"/>
    </w:rPr>
  </w:style>
  <w:style w:type="character" w:customStyle="1" w:styleId="Heading3Char1">
    <w:name w:val="Heading 3 Char1"/>
    <w:basedOn w:val="DefaultParagraphFont"/>
    <w:uiPriority w:val="9"/>
    <w:semiHidden/>
    <w:rsid w:val="001743D6"/>
    <w:rPr>
      <w:rFonts w:asciiTheme="majorHAnsi" w:eastAsiaTheme="majorEastAsia" w:hAnsiTheme="majorHAnsi" w:cstheme="majorBidi"/>
      <w:color w:val="1F3763" w:themeColor="accent1" w:themeShade="7F"/>
      <w:sz w:val="24"/>
      <w:szCs w:val="24"/>
    </w:rPr>
  </w:style>
  <w:style w:type="character" w:customStyle="1" w:styleId="Heading5Char1">
    <w:name w:val="Heading 5 Char1"/>
    <w:basedOn w:val="DefaultParagraphFont"/>
    <w:uiPriority w:val="9"/>
    <w:semiHidden/>
    <w:rsid w:val="001743D6"/>
    <w:rPr>
      <w:rFonts w:asciiTheme="majorHAnsi" w:eastAsiaTheme="majorEastAsia" w:hAnsiTheme="majorHAnsi" w:cstheme="majorBidi"/>
      <w:color w:val="2F5496" w:themeColor="accent1" w:themeShade="BF"/>
    </w:rPr>
  </w:style>
  <w:style w:type="table" w:styleId="LightList-Accent3">
    <w:name w:val="Light List Accent 3"/>
    <w:basedOn w:val="TableNormal"/>
    <w:uiPriority w:val="61"/>
    <w:unhideWhenUsed/>
    <w:rsid w:val="001743D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
    <w:name w:val="Light Shading"/>
    <w:basedOn w:val="TableNormal"/>
    <w:uiPriority w:val="60"/>
    <w:unhideWhenUsed/>
    <w:rsid w:val="001743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1743D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6">
    <w:name w:val="Light Shading Accent 6"/>
    <w:basedOn w:val="TableNormal"/>
    <w:uiPriority w:val="60"/>
    <w:unhideWhenUsed/>
    <w:rsid w:val="001743D6"/>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2">
    <w:name w:val="Light Shading Accent 2"/>
    <w:basedOn w:val="TableNormal"/>
    <w:uiPriority w:val="60"/>
    <w:unhideWhenUsed/>
    <w:rsid w:val="001743D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FootnoteText">
    <w:name w:val="footnote text"/>
    <w:aliases w:val="ALTS FOOTNOTE,Footnote Text Char Char,ALTS FOOTNOTE Char Char,ALTS FOOTNOTE Char1,URS Footnote Text,Char,Char1,Geneva 9,Font: Geneva 9,Boston 10,f,single space,footnote text,otnote Text,ft,Char Char Char Char,Fußnote,ADB Char Char"/>
    <w:basedOn w:val="Normal"/>
    <w:link w:val="FootnoteTextChar1"/>
    <w:unhideWhenUsed/>
    <w:qFormat/>
    <w:rsid w:val="001743D6"/>
    <w:pPr>
      <w:spacing w:after="0" w:line="240" w:lineRule="auto"/>
    </w:pPr>
    <w:rPr>
      <w:rFonts w:ascii="Segoe UI" w:hAnsi="Segoe UI" w:cs="Segoe UI"/>
      <w:sz w:val="18"/>
      <w:szCs w:val="20"/>
    </w:rPr>
  </w:style>
  <w:style w:type="character" w:customStyle="1" w:styleId="FootnoteTextChar1">
    <w:name w:val="Footnote Text Char1"/>
    <w:aliases w:val="ALTS FOOTNOTE Char2,Footnote Text Char Char Char1,ALTS FOOTNOTE Char Char Char1,ALTS FOOTNOTE Char1 Char1,URS Footnote Text Char1,Char Char1,Char1 Char1,Geneva 9 Char1,Font: Geneva 9 Char1,Boston 10 Char1,f Char,single space Char"/>
    <w:basedOn w:val="DefaultParagraphFont"/>
    <w:link w:val="FootnoteText"/>
    <w:rsid w:val="001743D6"/>
    <w:rPr>
      <w:rFonts w:ascii="Segoe UI" w:hAnsi="Segoe UI" w:cs="Segoe UI"/>
      <w:sz w:val="18"/>
      <w:szCs w:val="20"/>
    </w:rPr>
  </w:style>
  <w:style w:type="table" w:styleId="MediumList2-Accent1">
    <w:name w:val="Medium List 2 Accent 1"/>
    <w:basedOn w:val="TableNormal"/>
    <w:uiPriority w:val="66"/>
    <w:unhideWhenUsed/>
    <w:rsid w:val="001743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qFormat/>
    <w:rsid w:val="001743D6"/>
    <w:pPr>
      <w:spacing w:after="0" w:line="240" w:lineRule="auto"/>
      <w:contextualSpacing/>
    </w:pPr>
    <w:rPr>
      <w:rFonts w:ascii="Segoe UI Semibold" w:hAnsi="Segoe UI Semibold"/>
      <w:color w:val="9AF6FD"/>
      <w:sz w:val="44"/>
      <w:szCs w:val="44"/>
    </w:rPr>
  </w:style>
  <w:style w:type="character" w:customStyle="1" w:styleId="TitleChar1">
    <w:name w:val="Title Char1"/>
    <w:basedOn w:val="DefaultParagraphFont"/>
    <w:uiPriority w:val="10"/>
    <w:rsid w:val="001743D6"/>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743D6"/>
    <w:rPr>
      <w:color w:val="954F72" w:themeColor="followedHyperlink"/>
      <w:u w:val="single"/>
    </w:rPr>
  </w:style>
  <w:style w:type="character" w:customStyle="1" w:styleId="Heading6Char1">
    <w:name w:val="Heading 6 Char1"/>
    <w:basedOn w:val="DefaultParagraphFont"/>
    <w:uiPriority w:val="9"/>
    <w:semiHidden/>
    <w:rsid w:val="001743D6"/>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1743D6"/>
    <w:pPr>
      <w:spacing w:before="0" w:after="160"/>
    </w:pPr>
    <w:rPr>
      <w:b/>
      <w:bCs/>
    </w:rPr>
  </w:style>
  <w:style w:type="character" w:customStyle="1" w:styleId="CommentSubjectChar1">
    <w:name w:val="Comment Subject Char1"/>
    <w:basedOn w:val="CommentTextChar"/>
    <w:uiPriority w:val="99"/>
    <w:semiHidden/>
    <w:rsid w:val="001743D6"/>
    <w:rPr>
      <w:rFonts w:ascii="Cambria" w:eastAsia="Calibri" w:hAnsi="Cambria" w:cs="Times New Roman"/>
      <w:b/>
      <w:bCs/>
      <w:sz w:val="20"/>
      <w:szCs w:val="20"/>
    </w:rPr>
  </w:style>
  <w:style w:type="paragraph" w:styleId="Caption">
    <w:name w:val="caption"/>
    <w:aliases w:val="Figure text or caption"/>
    <w:basedOn w:val="Normal"/>
    <w:next w:val="Normal"/>
    <w:link w:val="CaptionChar"/>
    <w:unhideWhenUsed/>
    <w:qFormat/>
    <w:rsid w:val="001743D6"/>
    <w:pPr>
      <w:spacing w:after="200" w:line="240" w:lineRule="auto"/>
    </w:pPr>
    <w:rPr>
      <w:rFonts w:ascii="Segoe UI Semibold" w:eastAsia="Times New Roman" w:hAnsi="Segoe UI Semibold" w:cs="Times New Roman"/>
      <w:color w:val="016295"/>
    </w:rPr>
  </w:style>
  <w:style w:type="paragraph" w:styleId="Quote">
    <w:name w:val="Quote"/>
    <w:basedOn w:val="Normal"/>
    <w:next w:val="Normal"/>
    <w:link w:val="QuoteChar1"/>
    <w:qFormat/>
    <w:rsid w:val="001743D6"/>
    <w:pPr>
      <w:spacing w:before="200"/>
      <w:ind w:left="864" w:right="864"/>
      <w:jc w:val="center"/>
    </w:pPr>
    <w:rPr>
      <w:rFonts w:ascii="Segoe UI" w:hAnsi="Segoe UI" w:cs="Segoe UI"/>
      <w:i/>
      <w:iCs/>
      <w:color w:val="404040" w:themeColor="text1" w:themeTint="BF"/>
    </w:rPr>
  </w:style>
  <w:style w:type="character" w:customStyle="1" w:styleId="QuoteChar1">
    <w:name w:val="Quote Char1"/>
    <w:basedOn w:val="DefaultParagraphFont"/>
    <w:link w:val="Quote"/>
    <w:rsid w:val="001743D6"/>
    <w:rPr>
      <w:rFonts w:ascii="Segoe UI" w:hAnsi="Segoe UI" w:cs="Segoe UI"/>
      <w:i/>
      <w:iCs/>
      <w:color w:val="404040" w:themeColor="text1" w:themeTint="BF"/>
    </w:rPr>
  </w:style>
  <w:style w:type="paragraph" w:styleId="Subtitle">
    <w:name w:val="Subtitle"/>
    <w:basedOn w:val="Normal"/>
    <w:next w:val="Normal"/>
    <w:link w:val="SubtitleChar"/>
    <w:uiPriority w:val="23"/>
    <w:qFormat/>
    <w:rsid w:val="001743D6"/>
    <w:pPr>
      <w:numPr>
        <w:ilvl w:val="1"/>
      </w:numPr>
    </w:pPr>
    <w:rPr>
      <w:rFonts w:ascii="Gill Sans MT" w:eastAsia="STZhongsong" w:hAnsi="Gill Sans MT"/>
      <w:i/>
      <w:color w:val="404040"/>
      <w:spacing w:val="15"/>
      <w:sz w:val="24"/>
    </w:rPr>
  </w:style>
  <w:style w:type="character" w:customStyle="1" w:styleId="SubtitleChar1">
    <w:name w:val="Subtitle Char1"/>
    <w:basedOn w:val="DefaultParagraphFont"/>
    <w:uiPriority w:val="11"/>
    <w:rsid w:val="001743D6"/>
    <w:rPr>
      <w:rFonts w:eastAsiaTheme="minorEastAsia"/>
      <w:color w:val="5A5A5A" w:themeColor="text1" w:themeTint="A5"/>
      <w:spacing w:val="15"/>
    </w:rPr>
  </w:style>
  <w:style w:type="table" w:customStyle="1" w:styleId="Style1">
    <w:name w:val="Style1"/>
    <w:basedOn w:val="TableNormal"/>
    <w:uiPriority w:val="99"/>
    <w:rsid w:val="001743D6"/>
    <w:pPr>
      <w:spacing w:after="0" w:line="240" w:lineRule="auto"/>
    </w:pPr>
    <w:tblPr/>
  </w:style>
  <w:style w:type="paragraph" w:customStyle="1" w:styleId="CaptionImageorFigure">
    <w:name w:val="Caption Image or Figure"/>
    <w:basedOn w:val="Caption"/>
    <w:qFormat/>
    <w:rsid w:val="001743D6"/>
    <w:pPr>
      <w:keepNext/>
      <w:spacing w:before="60" w:after="120" w:line="200" w:lineRule="atLeast"/>
      <w:jc w:val="both"/>
    </w:pPr>
    <w:rPr>
      <w:rFonts w:asciiTheme="minorHAnsi" w:hAnsiTheme="minorHAnsi" w:cs="Arial"/>
      <w:b/>
      <w:bCs/>
      <w:color w:val="000000" w:themeColor="text1"/>
      <w:sz w:val="16"/>
      <w:szCs w:val="20"/>
      <w:lang w:eastAsia="en-AU"/>
    </w:rPr>
  </w:style>
  <w:style w:type="paragraph" w:customStyle="1" w:styleId="PhotoCredit">
    <w:name w:val="Photo Credit"/>
    <w:basedOn w:val="Normal"/>
    <w:next w:val="BodyText"/>
    <w:qFormat/>
    <w:rsid w:val="001743D6"/>
    <w:pPr>
      <w:spacing w:before="60" w:after="60" w:line="240" w:lineRule="auto"/>
      <w:ind w:right="227"/>
      <w:jc w:val="both"/>
    </w:pPr>
    <w:rPr>
      <w:rFonts w:eastAsia="Times New Roman" w:cs="Times New Roman"/>
      <w:color w:val="000000" w:themeColor="text1"/>
      <w:sz w:val="16"/>
      <w:szCs w:val="14"/>
    </w:rPr>
  </w:style>
  <w:style w:type="paragraph" w:customStyle="1" w:styleId="xl70">
    <w:name w:val="xl70"/>
    <w:basedOn w:val="Normal"/>
    <w:rsid w:val="001743D6"/>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1">
    <w:name w:val="xl71"/>
    <w:basedOn w:val="Normal"/>
    <w:rsid w:val="001743D6"/>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2">
    <w:name w:val="xl72"/>
    <w:basedOn w:val="Normal"/>
    <w:rsid w:val="001743D6"/>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3">
    <w:name w:val="xl73"/>
    <w:basedOn w:val="Normal"/>
    <w:rsid w:val="001743D6"/>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4">
    <w:name w:val="xl74"/>
    <w:basedOn w:val="Normal"/>
    <w:rsid w:val="001743D6"/>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75">
    <w:name w:val="xl75"/>
    <w:basedOn w:val="Normal"/>
    <w:rsid w:val="001743D6"/>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6">
    <w:name w:val="xl76"/>
    <w:basedOn w:val="Normal"/>
    <w:rsid w:val="001743D6"/>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7">
    <w:name w:val="xl77"/>
    <w:basedOn w:val="Normal"/>
    <w:rsid w:val="001743D6"/>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8">
    <w:name w:val="xl78"/>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9">
    <w:name w:val="xl79"/>
    <w:basedOn w:val="Normal"/>
    <w:rsid w:val="001743D6"/>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0">
    <w:name w:val="xl80"/>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1743D6"/>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2">
    <w:name w:val="xl82"/>
    <w:basedOn w:val="Normal"/>
    <w:rsid w:val="001743D6"/>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3">
    <w:name w:val="xl83"/>
    <w:basedOn w:val="Normal"/>
    <w:rsid w:val="001743D6"/>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4">
    <w:name w:val="xl84"/>
    <w:basedOn w:val="Normal"/>
    <w:rsid w:val="001743D6"/>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5">
    <w:name w:val="xl85"/>
    <w:basedOn w:val="Normal"/>
    <w:rsid w:val="001743D6"/>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6">
    <w:name w:val="xl86"/>
    <w:basedOn w:val="Normal"/>
    <w:rsid w:val="001743D6"/>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7">
    <w:name w:val="xl87"/>
    <w:basedOn w:val="Normal"/>
    <w:rsid w:val="001743D6"/>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character" w:customStyle="1" w:styleId="SOEitalicscharacterstyle">
    <w:name w:val="SOE italics character style"/>
    <w:basedOn w:val="DefaultParagraphFont"/>
    <w:uiPriority w:val="1"/>
    <w:qFormat/>
    <w:rsid w:val="001743D6"/>
    <w:rPr>
      <w:i/>
    </w:rPr>
  </w:style>
  <w:style w:type="table" w:customStyle="1" w:styleId="TableGrid1">
    <w:name w:val="Table Grid1"/>
    <w:basedOn w:val="TableNormal"/>
    <w:next w:val="TableGrid"/>
    <w:uiPriority w:val="59"/>
    <w:rsid w:val="00174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1743D6"/>
  </w:style>
  <w:style w:type="paragraph" w:styleId="TOCHeading">
    <w:name w:val="TOC Heading"/>
    <w:basedOn w:val="Heading1"/>
    <w:next w:val="Normal"/>
    <w:uiPriority w:val="39"/>
    <w:unhideWhenUsed/>
    <w:qFormat/>
    <w:rsid w:val="001743D6"/>
    <w:pPr>
      <w:keepNext/>
      <w:keepLines/>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numbering" w:customStyle="1" w:styleId="List1">
    <w:name w:val="List1"/>
    <w:basedOn w:val="NoList"/>
    <w:uiPriority w:val="99"/>
    <w:rsid w:val="001743D6"/>
    <w:pPr>
      <w:numPr>
        <w:numId w:val="27"/>
      </w:numPr>
    </w:pPr>
  </w:style>
  <w:style w:type="paragraph" w:styleId="ListNumber2">
    <w:name w:val="List Number 2"/>
    <w:uiPriority w:val="10"/>
    <w:qFormat/>
    <w:rsid w:val="001743D6"/>
    <w:pPr>
      <w:spacing w:before="120" w:after="120" w:line="264" w:lineRule="auto"/>
      <w:ind w:left="794" w:hanging="369"/>
    </w:pPr>
    <w:rPr>
      <w:rFonts w:ascii="Cambria" w:eastAsia="Times New Roman" w:hAnsi="Cambria" w:cs="Times New Roman"/>
      <w:szCs w:val="24"/>
    </w:rPr>
  </w:style>
  <w:style w:type="paragraph" w:styleId="ListNumber3">
    <w:name w:val="List Number 3"/>
    <w:uiPriority w:val="11"/>
    <w:qFormat/>
    <w:rsid w:val="001743D6"/>
    <w:pPr>
      <w:spacing w:before="120" w:after="120" w:line="264" w:lineRule="auto"/>
      <w:ind w:left="1077" w:hanging="170"/>
    </w:pPr>
    <w:rPr>
      <w:rFonts w:ascii="Cambria" w:eastAsia="Times New Roman" w:hAnsi="Cambria" w:cs="Times New Roman"/>
      <w:szCs w:val="24"/>
    </w:rPr>
  </w:style>
  <w:style w:type="paragraph" w:customStyle="1" w:styleId="DisseminationLimitingMarker">
    <w:name w:val="Dissemination Limiting Marker"/>
    <w:next w:val="Normal"/>
    <w:uiPriority w:val="27"/>
    <w:rsid w:val="001743D6"/>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basedOn w:val="DefaultParagraphFont"/>
    <w:uiPriority w:val="99"/>
    <w:qFormat/>
    <w:rsid w:val="001743D6"/>
    <w:rPr>
      <w:b/>
      <w:bCs/>
    </w:rPr>
  </w:style>
  <w:style w:type="paragraph" w:customStyle="1" w:styleId="Footeraddress">
    <w:name w:val="Footer address"/>
    <w:basedOn w:val="Normal"/>
    <w:next w:val="ListBullet2"/>
    <w:semiHidden/>
    <w:qFormat/>
    <w:rsid w:val="001743D6"/>
    <w:pPr>
      <w:tabs>
        <w:tab w:val="center" w:pos="4536"/>
      </w:tabs>
      <w:spacing w:before="120" w:after="120" w:line="240" w:lineRule="auto"/>
      <w:jc w:val="center"/>
    </w:pPr>
    <w:rPr>
      <w:rFonts w:ascii="Cambria" w:eastAsia="Calibri" w:hAnsi="Cambria" w:cs="Times New Roman"/>
      <w:sz w:val="16"/>
    </w:rPr>
  </w:style>
  <w:style w:type="paragraph" w:customStyle="1" w:styleId="BoxText">
    <w:name w:val="Box Text"/>
    <w:basedOn w:val="Normal"/>
    <w:uiPriority w:val="19"/>
    <w:qFormat/>
    <w:rsid w:val="001743D6"/>
    <w:pPr>
      <w:pBdr>
        <w:top w:val="single" w:sz="4" w:space="10" w:color="auto"/>
        <w:left w:val="single" w:sz="4" w:space="10" w:color="auto"/>
        <w:bottom w:val="single" w:sz="4" w:space="10" w:color="auto"/>
        <w:right w:val="single" w:sz="4" w:space="10" w:color="auto"/>
      </w:pBdr>
      <w:spacing w:before="120" w:after="120" w:line="240" w:lineRule="auto"/>
    </w:pPr>
    <w:rPr>
      <w:rFonts w:ascii="Cambria" w:eastAsia="Calibri" w:hAnsi="Cambria" w:cs="Times New Roman"/>
      <w:sz w:val="20"/>
    </w:rPr>
  </w:style>
  <w:style w:type="paragraph" w:customStyle="1" w:styleId="FigureTableNoteSource">
    <w:name w:val="Figure/Table Note/Source"/>
    <w:basedOn w:val="Normal"/>
    <w:next w:val="Normal"/>
    <w:uiPriority w:val="16"/>
    <w:qFormat/>
    <w:rsid w:val="001743D6"/>
    <w:pPr>
      <w:spacing w:before="120" w:after="0" w:line="264" w:lineRule="auto"/>
      <w:contextualSpacing/>
    </w:pPr>
    <w:rPr>
      <w:rFonts w:ascii="Cambria" w:eastAsia="Calibri" w:hAnsi="Cambria" w:cs="Times New Roman"/>
      <w:sz w:val="18"/>
    </w:rPr>
  </w:style>
  <w:style w:type="paragraph" w:customStyle="1" w:styleId="BasicParagraph">
    <w:name w:val="[Basic Paragraph]"/>
    <w:basedOn w:val="Normal"/>
    <w:uiPriority w:val="99"/>
    <w:rsid w:val="001743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1743D6"/>
    <w:pPr>
      <w:numPr>
        <w:numId w:val="13"/>
      </w:numPr>
    </w:pPr>
  </w:style>
  <w:style w:type="paragraph" w:customStyle="1" w:styleId="Preliminarycontentheading">
    <w:name w:val="Preliminary content heading"/>
    <w:link w:val="PreliminarycontentheadingChar"/>
    <w:uiPriority w:val="28"/>
    <w:qFormat/>
    <w:rsid w:val="001743D6"/>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1743D6"/>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rsid w:val="001743D6"/>
    <w:pPr>
      <w:numPr>
        <w:numId w:val="9"/>
      </w:numPr>
      <w:tabs>
        <w:tab w:val="left" w:pos="227"/>
      </w:tabs>
      <w:ind w:left="0" w:firstLine="0"/>
    </w:pPr>
  </w:style>
  <w:style w:type="paragraph" w:customStyle="1" w:styleId="TableBullet">
    <w:name w:val="Table Bullet"/>
    <w:basedOn w:val="TableText0"/>
    <w:uiPriority w:val="15"/>
    <w:qFormat/>
    <w:rsid w:val="001743D6"/>
    <w:pPr>
      <w:numPr>
        <w:numId w:val="10"/>
      </w:numPr>
      <w:spacing w:before="60" w:after="60"/>
    </w:pPr>
    <w:rPr>
      <w:rFonts w:ascii="Cambria" w:eastAsia="Calibri" w:hAnsi="Cambria"/>
      <w:sz w:val="18"/>
      <w:szCs w:val="22"/>
      <w:lang w:eastAsia="en-US"/>
    </w:rPr>
  </w:style>
  <w:style w:type="paragraph" w:customStyle="1" w:styleId="BoxHeading">
    <w:name w:val="Box Heading"/>
    <w:basedOn w:val="BoxText"/>
    <w:uiPriority w:val="20"/>
    <w:qFormat/>
    <w:rsid w:val="001743D6"/>
    <w:rPr>
      <w:b/>
    </w:rPr>
  </w:style>
  <w:style w:type="paragraph" w:customStyle="1" w:styleId="Securityclassification">
    <w:name w:val="Security classification"/>
    <w:basedOn w:val="Normal"/>
    <w:uiPriority w:val="26"/>
    <w:qFormat/>
    <w:rsid w:val="001743D6"/>
    <w:pPr>
      <w:tabs>
        <w:tab w:val="center" w:pos="4820"/>
      </w:tabs>
      <w:spacing w:before="120" w:after="0" w:line="240" w:lineRule="auto"/>
      <w:jc w:val="center"/>
    </w:pPr>
    <w:rPr>
      <w:rFonts w:ascii="Cambria" w:eastAsia="Calibri" w:hAnsi="Cambria" w:cs="Times New Roman"/>
      <w:b/>
      <w:caps/>
      <w:color w:val="FF0000"/>
      <w:sz w:val="36"/>
      <w:szCs w:val="36"/>
    </w:rPr>
  </w:style>
  <w:style w:type="paragraph" w:customStyle="1" w:styleId="BoxSource">
    <w:name w:val="Box Source"/>
    <w:basedOn w:val="FigureTableNoteSource"/>
    <w:uiPriority w:val="22"/>
    <w:qFormat/>
    <w:rsid w:val="001743D6"/>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1743D6"/>
    <w:pPr>
      <w:pageBreakBefore/>
      <w:spacing w:after="240" w:line="240" w:lineRule="auto"/>
      <w:ind w:left="770" w:hanging="360"/>
    </w:pPr>
    <w:rPr>
      <w:rFonts w:eastAsia="Times New Roman" w:cs="Times New Roman"/>
      <w:b/>
      <w:bCs/>
      <w:sz w:val="56"/>
      <w:szCs w:val="24"/>
    </w:rPr>
  </w:style>
  <w:style w:type="numbering" w:customStyle="1" w:styleId="Appendix">
    <w:name w:val="Appendix"/>
    <w:uiPriority w:val="99"/>
    <w:rsid w:val="001743D6"/>
    <w:pPr>
      <w:numPr>
        <w:numId w:val="41"/>
      </w:numPr>
    </w:pPr>
  </w:style>
  <w:style w:type="numbering" w:customStyle="1" w:styleId="ListBullets">
    <w:name w:val="ListBullets"/>
    <w:uiPriority w:val="99"/>
    <w:rsid w:val="001743D6"/>
    <w:pPr>
      <w:numPr>
        <w:numId w:val="31"/>
      </w:numPr>
    </w:pPr>
  </w:style>
  <w:style w:type="paragraph" w:styleId="ListBullet4">
    <w:name w:val="List Bullet 4"/>
    <w:basedOn w:val="Normal"/>
    <w:uiPriority w:val="99"/>
    <w:unhideWhenUsed/>
    <w:rsid w:val="001743D6"/>
    <w:pPr>
      <w:numPr>
        <w:numId w:val="12"/>
      </w:numPr>
      <w:spacing w:before="120" w:after="0" w:line="240" w:lineRule="auto"/>
      <w:contextualSpacing/>
    </w:pPr>
    <w:rPr>
      <w:rFonts w:ascii="Cambria" w:eastAsia="Calibri" w:hAnsi="Cambria" w:cs="Times New Roman"/>
    </w:rPr>
  </w:style>
  <w:style w:type="numbering" w:customStyle="1" w:styleId="ListNumbers">
    <w:name w:val="ListNumbers"/>
    <w:uiPriority w:val="99"/>
    <w:rsid w:val="001743D6"/>
    <w:pPr>
      <w:numPr>
        <w:numId w:val="29"/>
      </w:numPr>
    </w:pPr>
  </w:style>
  <w:style w:type="paragraph" w:customStyle="1" w:styleId="Picture">
    <w:name w:val="Picture"/>
    <w:qFormat/>
    <w:rsid w:val="001743D6"/>
    <w:pPr>
      <w:spacing w:after="0" w:line="240" w:lineRule="auto"/>
    </w:pPr>
    <w:rPr>
      <w:rFonts w:ascii="Calibri" w:eastAsiaTheme="minorEastAsia" w:hAnsi="Calibri"/>
      <w:bCs/>
      <w:color w:val="000000"/>
      <w:szCs w:val="28"/>
      <w:lang w:eastAsia="ja-JP"/>
    </w:rPr>
  </w:style>
  <w:style w:type="paragraph" w:styleId="Date">
    <w:name w:val="Date"/>
    <w:basedOn w:val="Normal"/>
    <w:next w:val="Normal"/>
    <w:link w:val="DateChar"/>
    <w:uiPriority w:val="99"/>
    <w:unhideWhenUsed/>
    <w:rsid w:val="001743D6"/>
    <w:pPr>
      <w:pBdr>
        <w:top w:val="single" w:sz="4" w:space="1" w:color="auto"/>
      </w:pBdr>
      <w:spacing w:before="120" w:after="0" w:line="240" w:lineRule="auto"/>
      <w:ind w:left="1701"/>
      <w:jc w:val="right"/>
    </w:pPr>
    <w:rPr>
      <w:rFonts w:ascii="Cambria" w:eastAsia="Calibri" w:hAnsi="Cambria" w:cs="Times New Roman"/>
      <w:sz w:val="28"/>
      <w:szCs w:val="28"/>
    </w:rPr>
  </w:style>
  <w:style w:type="character" w:customStyle="1" w:styleId="DateChar">
    <w:name w:val="Date Char"/>
    <w:basedOn w:val="DefaultParagraphFont"/>
    <w:link w:val="Date"/>
    <w:uiPriority w:val="99"/>
    <w:rsid w:val="001743D6"/>
    <w:rPr>
      <w:rFonts w:ascii="Cambria" w:eastAsia="Calibri" w:hAnsi="Cambria" w:cs="Times New Roman"/>
      <w:sz w:val="28"/>
      <w:szCs w:val="28"/>
    </w:rPr>
  </w:style>
  <w:style w:type="paragraph" w:customStyle="1" w:styleId="AppendixHeading2">
    <w:name w:val="Appendix Heading 2"/>
    <w:basedOn w:val="Heading2"/>
    <w:qFormat/>
    <w:rsid w:val="001743D6"/>
    <w:pPr>
      <w:numPr>
        <w:numId w:val="33"/>
      </w:numPr>
      <w:spacing w:after="0" w:line="240" w:lineRule="auto"/>
    </w:pPr>
    <w:rPr>
      <w:rFonts w:eastAsia="Times New Roman" w:cs="Times New Roman"/>
      <w:b w:val="0"/>
      <w:bCs/>
      <w:szCs w:val="24"/>
    </w:rPr>
  </w:style>
  <w:style w:type="paragraph" w:customStyle="1" w:styleId="AppendixHeading3">
    <w:name w:val="Appendix Heading 3"/>
    <w:qFormat/>
    <w:rsid w:val="001743D6"/>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rsid w:val="001743D6"/>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rsid w:val="001743D6"/>
  </w:style>
  <w:style w:type="character" w:customStyle="1" w:styleId="SOEboldcharacterstyle">
    <w:name w:val="SOE bold character style"/>
    <w:basedOn w:val="DefaultParagraphFont"/>
    <w:uiPriority w:val="1"/>
    <w:qFormat/>
    <w:rsid w:val="001743D6"/>
    <w:rPr>
      <w:b/>
    </w:rPr>
  </w:style>
  <w:style w:type="paragraph" w:customStyle="1" w:styleId="xl63">
    <w:name w:val="xl63"/>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LeftChar">
    <w:name w:val="Table Text Left Char"/>
    <w:basedOn w:val="DefaultParagraphFont"/>
    <w:link w:val="TableTextLeft"/>
    <w:rsid w:val="001743D6"/>
    <w:rPr>
      <w:rFonts w:ascii="Segoe UI" w:eastAsia="Times New Roman" w:hAnsi="Segoe UI" w:cs="Arial"/>
      <w:color w:val="000000"/>
      <w:sz w:val="18"/>
      <w:szCs w:val="20"/>
      <w:lang w:eastAsia="en-AU"/>
    </w:rPr>
  </w:style>
  <w:style w:type="paragraph" w:customStyle="1" w:styleId="TableTextRight">
    <w:name w:val="Table Text Right"/>
    <w:basedOn w:val="TableTextLeft"/>
    <w:qFormat/>
    <w:rsid w:val="001743D6"/>
    <w:pPr>
      <w:jc w:val="right"/>
    </w:pPr>
    <w:rPr>
      <w:rFonts w:asciiTheme="minorHAnsi" w:hAnsiTheme="minorHAnsi"/>
      <w:color w:val="000000" w:themeColor="text1"/>
    </w:rPr>
  </w:style>
  <w:style w:type="character" w:customStyle="1" w:styleId="advancedproofingissue">
    <w:name w:val="advancedproofingissue"/>
    <w:basedOn w:val="DefaultParagraphFont"/>
    <w:rsid w:val="001743D6"/>
  </w:style>
  <w:style w:type="character" w:customStyle="1" w:styleId="scxw162616326">
    <w:name w:val="scxw162616326"/>
    <w:basedOn w:val="DefaultParagraphFont"/>
    <w:rsid w:val="001743D6"/>
  </w:style>
  <w:style w:type="character" w:customStyle="1" w:styleId="FootnoteReference1">
    <w:name w:val="Footnote Reference1"/>
    <w:basedOn w:val="DefaultParagraphFont"/>
    <w:rsid w:val="001743D6"/>
    <w:rPr>
      <w:color w:val="363534"/>
      <w:vertAlign w:val="superscript"/>
    </w:rPr>
  </w:style>
  <w:style w:type="paragraph" w:customStyle="1" w:styleId="xl64">
    <w:name w:val="xl64"/>
    <w:basedOn w:val="Normal"/>
    <w:rsid w:val="001743D6"/>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Heading11">
    <w:name w:val="Heading 11"/>
    <w:basedOn w:val="Normal"/>
    <w:next w:val="BodyText"/>
    <w:qFormat/>
    <w:rsid w:val="001743D6"/>
    <w:pPr>
      <w:keepNext/>
      <w:keepLines/>
      <w:spacing w:before="300" w:after="360" w:line="440" w:lineRule="exact"/>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BodyText"/>
    <w:rsid w:val="001743D6"/>
    <w:pPr>
      <w:keepNext/>
      <w:keepLines/>
      <w:tabs>
        <w:tab w:val="left" w:pos="1418"/>
        <w:tab w:val="left" w:pos="1701"/>
        <w:tab w:val="left" w:pos="1985"/>
      </w:tabs>
      <w:spacing w:before="240" w:after="100" w:line="280" w:lineRule="exact"/>
      <w:outlineLvl w:val="1"/>
    </w:pPr>
    <w:rPr>
      <w:rFonts w:eastAsia="Times New Roman" w:cs="Arial"/>
      <w:b/>
      <w:bCs/>
      <w:iCs/>
      <w:color w:val="00B2A9"/>
      <w:kern w:val="20"/>
      <w:sz w:val="24"/>
      <w:szCs w:val="28"/>
      <w:lang w:eastAsia="en-AU"/>
    </w:rPr>
  </w:style>
  <w:style w:type="paragraph" w:customStyle="1" w:styleId="Heading41">
    <w:name w:val="Heading 41"/>
    <w:basedOn w:val="Normal"/>
    <w:next w:val="BodyText"/>
    <w:qFormat/>
    <w:rsid w:val="001743D6"/>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0"/>
      <w:szCs w:val="20"/>
      <w:lang w:eastAsia="en-AU"/>
    </w:rPr>
  </w:style>
  <w:style w:type="paragraph" w:customStyle="1" w:styleId="Heading71">
    <w:name w:val="Heading 71"/>
    <w:basedOn w:val="Normal"/>
    <w:next w:val="Normal"/>
    <w:semiHidden/>
    <w:rsid w:val="001743D6"/>
    <w:pPr>
      <w:keepNext/>
      <w:keepLines/>
      <w:spacing w:before="2820" w:after="180" w:line="240" w:lineRule="atLeast"/>
      <w:outlineLvl w:val="6"/>
    </w:pPr>
    <w:rPr>
      <w:rFonts w:ascii="Arial" w:eastAsia="MingLiU" w:hAnsi="Arial" w:cs="Times New Roman"/>
      <w:b/>
      <w:iCs/>
      <w:color w:val="FFFFFF"/>
      <w:sz w:val="20"/>
      <w:szCs w:val="20"/>
      <w:lang w:eastAsia="en-AU"/>
    </w:rPr>
  </w:style>
  <w:style w:type="paragraph" w:customStyle="1" w:styleId="AppendixTitle1">
    <w:name w:val="Appendix Title1"/>
    <w:basedOn w:val="Normal"/>
    <w:next w:val="BodyText"/>
    <w:uiPriority w:val="1"/>
    <w:rsid w:val="001743D6"/>
    <w:pPr>
      <w:keepNext/>
      <w:keepLines/>
      <w:pageBreakBefore/>
      <w:framePr w:w="11906" w:h="1701" w:hSpace="11339" w:wrap="around" w:vAnchor="page" w:hAnchor="page" w:x="1" w:y="1"/>
      <w:numPr>
        <w:numId w:val="16"/>
      </w:numPr>
      <w:spacing w:before="1300" w:after="440" w:line="440" w:lineRule="exact"/>
      <w:ind w:right="1134"/>
      <w:outlineLvl w:val="7"/>
    </w:pPr>
    <w:rPr>
      <w:rFonts w:ascii="Arial" w:eastAsia="MingLiU" w:hAnsi="Arial" w:cs="Times New Roman"/>
      <w:b/>
      <w:color w:val="00B2A9"/>
      <w:sz w:val="40"/>
      <w:szCs w:val="20"/>
      <w:lang w:eastAsia="en-AU"/>
    </w:rPr>
  </w:style>
  <w:style w:type="paragraph" w:customStyle="1" w:styleId="AppendixHeading11">
    <w:name w:val="Appendix Heading 11"/>
    <w:basedOn w:val="Normal"/>
    <w:next w:val="BodyText"/>
    <w:uiPriority w:val="1"/>
    <w:rsid w:val="001743D6"/>
    <w:pPr>
      <w:keepNext/>
      <w:keepLines/>
      <w:tabs>
        <w:tab w:val="left" w:pos="1559"/>
        <w:tab w:val="left" w:pos="1843"/>
        <w:tab w:val="left" w:pos="2126"/>
        <w:tab w:val="left" w:pos="2410"/>
      </w:tabs>
      <w:spacing w:before="240" w:after="100" w:line="280" w:lineRule="exact"/>
      <w:outlineLvl w:val="8"/>
    </w:pPr>
    <w:rPr>
      <w:rFonts w:eastAsia="Times New Roman" w:cs="Arial"/>
      <w:b/>
      <w:color w:val="00B2A9"/>
      <w:sz w:val="24"/>
      <w:szCs w:val="20"/>
      <w:lang w:eastAsia="en-AU"/>
    </w:rPr>
  </w:style>
  <w:style w:type="paragraph" w:customStyle="1" w:styleId="xDisclaimertext3">
    <w:name w:val="xDisclaimer text 3"/>
    <w:basedOn w:val="xDisclaimerText"/>
    <w:rsid w:val="001743D6"/>
    <w:pPr>
      <w:spacing w:before="60" w:after="60"/>
    </w:pPr>
  </w:style>
  <w:style w:type="character" w:styleId="PageNumber">
    <w:name w:val="page number"/>
    <w:basedOn w:val="DefaultParagraphFont"/>
    <w:semiHidden/>
    <w:rsid w:val="001743D6"/>
    <w:rPr>
      <w:rFonts w:ascii="Arial" w:hAnsi="Arial"/>
      <w:b/>
      <w:color w:val="auto"/>
      <w:sz w:val="16"/>
    </w:rPr>
  </w:style>
  <w:style w:type="paragraph" w:customStyle="1" w:styleId="FooterOdd">
    <w:name w:val="Footer Odd"/>
    <w:next w:val="Footer"/>
    <w:rsid w:val="001743D6"/>
    <w:pPr>
      <w:spacing w:after="0" w:line="200" w:lineRule="atLeast"/>
      <w:jc w:val="right"/>
    </w:pPr>
    <w:rPr>
      <w:rFonts w:eastAsia="Times New Roman" w:cs="Arial"/>
      <w:color w:val="363534"/>
      <w:spacing w:val="2"/>
      <w:sz w:val="16"/>
      <w:szCs w:val="20"/>
      <w:lang w:eastAsia="en-AU"/>
    </w:rPr>
  </w:style>
  <w:style w:type="paragraph" w:customStyle="1" w:styleId="FooterEven">
    <w:name w:val="Footer Even"/>
    <w:next w:val="Footer"/>
    <w:rsid w:val="001743D6"/>
    <w:pPr>
      <w:spacing w:after="0" w:line="200" w:lineRule="atLeast"/>
    </w:pPr>
    <w:rPr>
      <w:rFonts w:eastAsia="Times New Roman" w:cs="Arial"/>
      <w:color w:val="363534"/>
      <w:sz w:val="16"/>
      <w:szCs w:val="20"/>
      <w:lang w:eastAsia="en-AU"/>
    </w:rPr>
  </w:style>
  <w:style w:type="paragraph" w:customStyle="1" w:styleId="FooterOddPageNumber">
    <w:name w:val="Footer Odd Page Number"/>
    <w:basedOn w:val="FooterOdd"/>
    <w:rsid w:val="001743D6"/>
    <w:pPr>
      <w:ind w:right="28"/>
    </w:pPr>
    <w:rPr>
      <w:b/>
      <w:color w:val="00B2A9"/>
    </w:rPr>
  </w:style>
  <w:style w:type="paragraph" w:customStyle="1" w:styleId="FootnoteSeparator">
    <w:name w:val="Footnote Separator"/>
    <w:basedOn w:val="Normal"/>
    <w:unhideWhenUsed/>
    <w:rsid w:val="001743D6"/>
    <w:pPr>
      <w:pBdr>
        <w:top w:val="dotted" w:sz="8" w:space="0" w:color="363534"/>
      </w:pBdr>
      <w:spacing w:before="120" w:after="0" w:line="120" w:lineRule="exact"/>
    </w:pPr>
    <w:rPr>
      <w:rFonts w:eastAsia="Times New Roman" w:cs="Arial"/>
      <w:color w:val="363534"/>
      <w:sz w:val="16"/>
      <w:szCs w:val="16"/>
      <w:lang w:eastAsia="en-AU"/>
    </w:rPr>
  </w:style>
  <w:style w:type="paragraph" w:customStyle="1" w:styleId="Emailaddress">
    <w:name w:val="Email address"/>
    <w:basedOn w:val="Normal"/>
    <w:semiHidden/>
    <w:rsid w:val="001743D6"/>
    <w:pPr>
      <w:spacing w:after="0" w:line="240" w:lineRule="atLeast"/>
    </w:pPr>
    <w:rPr>
      <w:rFonts w:eastAsia="Times New Roman" w:cs="Arial"/>
      <w:color w:val="363534"/>
      <w:sz w:val="16"/>
      <w:szCs w:val="16"/>
      <w:lang w:eastAsia="en-AU"/>
    </w:rPr>
  </w:style>
  <w:style w:type="character" w:customStyle="1" w:styleId="Italics">
    <w:name w:val="Italics"/>
    <w:qFormat/>
    <w:rsid w:val="001743D6"/>
    <w:rPr>
      <w:i/>
    </w:rPr>
  </w:style>
  <w:style w:type="paragraph" w:styleId="ListContinue">
    <w:name w:val="List Continue"/>
    <w:basedOn w:val="Normal"/>
    <w:semiHidden/>
    <w:qFormat/>
    <w:rsid w:val="001743D6"/>
    <w:pPr>
      <w:spacing w:before="220" w:after="220" w:line="240" w:lineRule="atLeast"/>
      <w:ind w:left="340"/>
    </w:pPr>
    <w:rPr>
      <w:rFonts w:eastAsia="Times New Roman" w:cs="Arial"/>
      <w:color w:val="363534"/>
      <w:sz w:val="20"/>
      <w:szCs w:val="20"/>
      <w:lang w:eastAsia="en-AU"/>
    </w:rPr>
  </w:style>
  <w:style w:type="paragraph" w:styleId="ListContinue2">
    <w:name w:val="List Continue 2"/>
    <w:basedOn w:val="Normal"/>
    <w:semiHidden/>
    <w:qFormat/>
    <w:rsid w:val="001743D6"/>
    <w:pPr>
      <w:spacing w:before="220" w:after="220" w:line="240" w:lineRule="atLeast"/>
      <w:ind w:left="680"/>
    </w:pPr>
    <w:rPr>
      <w:rFonts w:eastAsia="Times New Roman" w:cs="Arial"/>
      <w:color w:val="363534"/>
      <w:sz w:val="20"/>
      <w:szCs w:val="20"/>
      <w:lang w:eastAsia="en-AU"/>
    </w:rPr>
  </w:style>
  <w:style w:type="numbering" w:styleId="1ai">
    <w:name w:val="Outline List 1"/>
    <w:basedOn w:val="NoList"/>
    <w:rsid w:val="001743D6"/>
    <w:pPr>
      <w:numPr>
        <w:numId w:val="14"/>
      </w:numPr>
    </w:pPr>
  </w:style>
  <w:style w:type="paragraph" w:customStyle="1" w:styleId="TableTextBullet2">
    <w:name w:val="Table Text Bullet 2"/>
    <w:basedOn w:val="TableTextBullet"/>
    <w:qFormat/>
    <w:rsid w:val="001743D6"/>
    <w:pPr>
      <w:numPr>
        <w:ilvl w:val="1"/>
      </w:numPr>
    </w:pPr>
    <w:rPr>
      <w:bCs/>
    </w:rPr>
  </w:style>
  <w:style w:type="paragraph" w:customStyle="1" w:styleId="TableTextBullet3">
    <w:name w:val="Table Text Bullet 3"/>
    <w:basedOn w:val="TableTextBullet2"/>
    <w:qFormat/>
    <w:rsid w:val="001743D6"/>
    <w:pPr>
      <w:numPr>
        <w:ilvl w:val="2"/>
      </w:numPr>
    </w:pPr>
    <w:rPr>
      <w:bCs w:val="0"/>
    </w:rPr>
  </w:style>
  <w:style w:type="paragraph" w:customStyle="1" w:styleId="xDoublePic">
    <w:name w:val="xDoublePic"/>
    <w:basedOn w:val="xInlineShape"/>
    <w:semiHidden/>
    <w:rsid w:val="001743D6"/>
    <w:pPr>
      <w:spacing w:before="0" w:after="0"/>
    </w:pPr>
  </w:style>
  <w:style w:type="paragraph" w:customStyle="1" w:styleId="Footnotes">
    <w:name w:val="Footnotes"/>
    <w:basedOn w:val="Normal"/>
    <w:rsid w:val="001743D6"/>
    <w:pPr>
      <w:keepLines/>
      <w:numPr>
        <w:numId w:val="18"/>
      </w:numPr>
      <w:spacing w:before="60" w:after="100" w:afterAutospacing="1" w:line="180" w:lineRule="exact"/>
    </w:pPr>
    <w:rPr>
      <w:rFonts w:eastAsia="Times New Roman" w:cs="Arial"/>
      <w:color w:val="363534"/>
      <w:sz w:val="14"/>
      <w:szCs w:val="20"/>
      <w:lang w:eastAsia="en-AU"/>
    </w:rPr>
  </w:style>
  <w:style w:type="character" w:customStyle="1" w:styleId="Superscript">
    <w:name w:val="Superscript"/>
    <w:semiHidden/>
    <w:rsid w:val="001743D6"/>
    <w:rPr>
      <w:vertAlign w:val="superscript"/>
    </w:rPr>
  </w:style>
  <w:style w:type="table" w:styleId="TableColumns3">
    <w:name w:val="Table Columns 3"/>
    <w:basedOn w:val="TableNormal"/>
    <w:rsid w:val="001743D6"/>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1743D6"/>
    <w:pPr>
      <w:numPr>
        <w:numId w:val="20"/>
      </w:numPr>
    </w:pPr>
    <w:rPr>
      <w:rFonts w:asciiTheme="minorHAnsi" w:hAnsiTheme="minorHAnsi"/>
      <w:color w:val="363534"/>
    </w:rPr>
  </w:style>
  <w:style w:type="paragraph" w:customStyle="1" w:styleId="TableTextNumbered">
    <w:name w:val="Table Text Numbered"/>
    <w:basedOn w:val="TableTextLeft"/>
    <w:qFormat/>
    <w:rsid w:val="001743D6"/>
    <w:pPr>
      <w:numPr>
        <w:numId w:val="15"/>
      </w:numPr>
    </w:pPr>
    <w:rPr>
      <w:rFonts w:asciiTheme="minorHAnsi" w:hAnsiTheme="minorHAnsi"/>
      <w:color w:val="363534"/>
    </w:rPr>
  </w:style>
  <w:style w:type="paragraph" w:customStyle="1" w:styleId="TableTextNumbered2">
    <w:name w:val="Table Text Numbered 2"/>
    <w:basedOn w:val="TableTextNumbered"/>
    <w:qFormat/>
    <w:rsid w:val="001743D6"/>
    <w:pPr>
      <w:numPr>
        <w:ilvl w:val="1"/>
      </w:numPr>
    </w:pPr>
  </w:style>
  <w:style w:type="paragraph" w:customStyle="1" w:styleId="TableTextNumbered3">
    <w:name w:val="Table Text Numbered 3"/>
    <w:basedOn w:val="TableTextNumbered2"/>
    <w:qFormat/>
    <w:rsid w:val="001743D6"/>
    <w:pPr>
      <w:numPr>
        <w:ilvl w:val="2"/>
      </w:numPr>
    </w:pPr>
  </w:style>
  <w:style w:type="paragraph" w:customStyle="1" w:styleId="TableTextLeftBold">
    <w:name w:val="Table Text Left Bold"/>
    <w:basedOn w:val="TableTextLeft"/>
    <w:qFormat/>
    <w:rsid w:val="001743D6"/>
    <w:rPr>
      <w:rFonts w:asciiTheme="minorHAnsi" w:hAnsiTheme="minorHAnsi"/>
      <w:b/>
      <w:color w:val="363534"/>
    </w:rPr>
  </w:style>
  <w:style w:type="paragraph" w:customStyle="1" w:styleId="BoldHeading">
    <w:name w:val="Bold Heading"/>
    <w:basedOn w:val="Normal"/>
    <w:next w:val="BodyText"/>
    <w:qFormat/>
    <w:rsid w:val="001743D6"/>
    <w:pPr>
      <w:spacing w:before="280" w:after="240" w:line="240" w:lineRule="atLeast"/>
    </w:pPr>
    <w:rPr>
      <w:rFonts w:eastAsia="Times New Roman" w:cs="Arial"/>
      <w:b/>
      <w:color w:val="363534"/>
      <w:sz w:val="20"/>
      <w:szCs w:val="20"/>
      <w:lang w:eastAsia="en-AU"/>
    </w:rPr>
  </w:style>
  <w:style w:type="paragraph" w:customStyle="1" w:styleId="xInlineShape">
    <w:name w:val="xInlineShape"/>
    <w:basedOn w:val="Normal"/>
    <w:next w:val="BodyText"/>
    <w:uiPriority w:val="3"/>
    <w:semiHidden/>
    <w:rsid w:val="001743D6"/>
    <w:pPr>
      <w:keepNext/>
      <w:spacing w:before="120" w:after="20" w:line="240" w:lineRule="auto"/>
    </w:pPr>
    <w:rPr>
      <w:rFonts w:eastAsia="Times New Roman" w:cs="Arial"/>
      <w:color w:val="363534"/>
      <w:sz w:val="20"/>
      <w:szCs w:val="20"/>
      <w:lang w:eastAsia="en-AU"/>
    </w:rPr>
  </w:style>
  <w:style w:type="paragraph" w:customStyle="1" w:styleId="xDisclaimerHeading">
    <w:name w:val="xDisclaimer Heading"/>
    <w:basedOn w:val="Normal"/>
    <w:rsid w:val="001743D6"/>
    <w:pPr>
      <w:spacing w:before="170" w:after="20" w:line="170" w:lineRule="atLeast"/>
    </w:pPr>
    <w:rPr>
      <w:rFonts w:eastAsia="Times New Roman" w:cs="Arial"/>
      <w:b/>
      <w:color w:val="363534"/>
      <w:sz w:val="16"/>
      <w:szCs w:val="20"/>
      <w:lang w:eastAsia="en-AU"/>
    </w:rPr>
  </w:style>
  <w:style w:type="table" w:customStyle="1" w:styleId="TableAsPlaceholder">
    <w:name w:val="Table As Placeholder"/>
    <w:basedOn w:val="TableNormal"/>
    <w:uiPriority w:val="99"/>
    <w:qFormat/>
    <w:rsid w:val="001743D6"/>
    <w:pPr>
      <w:spacing w:after="0" w:line="240" w:lineRule="atLeast"/>
    </w:pPr>
    <w:rPr>
      <w:rFonts w:eastAsia="Times New Roman" w:cs="Arial"/>
      <w:color w:val="363534"/>
      <w:sz w:val="20"/>
      <w:szCs w:val="20"/>
      <w:lang w:eastAsia="en-AU"/>
    </w:rPr>
    <w:tblPr>
      <w:tblCellMar>
        <w:left w:w="0" w:type="dxa"/>
        <w:right w:w="0" w:type="dxa"/>
      </w:tblCellMar>
    </w:tblPr>
  </w:style>
  <w:style w:type="paragraph" w:customStyle="1" w:styleId="TOC11">
    <w:name w:val="TOC 11"/>
    <w:basedOn w:val="Normal"/>
    <w:next w:val="Normal"/>
    <w:uiPriority w:val="39"/>
    <w:rsid w:val="001743D6"/>
    <w:pPr>
      <w:tabs>
        <w:tab w:val="right" w:leader="dot" w:pos="9582"/>
      </w:tabs>
      <w:spacing w:before="240" w:after="60" w:line="240" w:lineRule="atLeast"/>
      <w:ind w:right="851"/>
    </w:pPr>
    <w:rPr>
      <w:rFonts w:eastAsia="Times New Roman" w:cs="Arial"/>
      <w:b/>
      <w:noProof/>
      <w:color w:val="00B2A9"/>
      <w:sz w:val="24"/>
      <w:szCs w:val="24"/>
      <w:lang w:eastAsia="en-AU"/>
    </w:rPr>
  </w:style>
  <w:style w:type="paragraph" w:customStyle="1" w:styleId="TOCHeading1">
    <w:name w:val="TOC Heading1"/>
    <w:basedOn w:val="Normal"/>
    <w:next w:val="TOCHeading"/>
    <w:uiPriority w:val="99"/>
    <w:rsid w:val="001743D6"/>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rFonts w:eastAsia="Times New Roman" w:cs="Arial"/>
      <w:b/>
      <w:color w:val="00B2A9"/>
      <w:sz w:val="40"/>
      <w:szCs w:val="40"/>
      <w:lang w:eastAsia="en-AU"/>
    </w:rPr>
  </w:style>
  <w:style w:type="paragraph" w:customStyle="1" w:styleId="TOC31">
    <w:name w:val="TOC 31"/>
    <w:basedOn w:val="Normal"/>
    <w:next w:val="Normal"/>
    <w:uiPriority w:val="39"/>
    <w:rsid w:val="001743D6"/>
    <w:pPr>
      <w:tabs>
        <w:tab w:val="right" w:leader="dot" w:pos="9582"/>
      </w:tabs>
      <w:spacing w:before="60" w:after="60" w:line="240" w:lineRule="atLeast"/>
      <w:ind w:left="142" w:right="851"/>
    </w:pPr>
    <w:rPr>
      <w:rFonts w:eastAsia="PMingLiU"/>
      <w:b/>
      <w:noProof/>
      <w:color w:val="4F4E4E"/>
      <w:sz w:val="20"/>
      <w:szCs w:val="20"/>
      <w:lang w:eastAsia="en-AU"/>
    </w:rPr>
  </w:style>
  <w:style w:type="paragraph" w:styleId="TOC4">
    <w:name w:val="toc 4"/>
    <w:basedOn w:val="Normal"/>
    <w:uiPriority w:val="39"/>
    <w:rsid w:val="001743D6"/>
    <w:pPr>
      <w:tabs>
        <w:tab w:val="right" w:leader="dot" w:pos="9582"/>
      </w:tabs>
      <w:spacing w:before="60" w:after="60" w:line="240" w:lineRule="atLeast"/>
      <w:ind w:left="567"/>
    </w:pPr>
    <w:rPr>
      <w:rFonts w:eastAsia="Times New Roman" w:cs="Arial"/>
      <w:noProof/>
      <w:color w:val="4F4E4E"/>
      <w:sz w:val="20"/>
      <w:szCs w:val="20"/>
      <w:lang w:eastAsia="en-AU"/>
    </w:rPr>
  </w:style>
  <w:style w:type="paragraph" w:customStyle="1" w:styleId="TOFHeading">
    <w:name w:val="TOF Heading"/>
    <w:basedOn w:val="Normal"/>
    <w:uiPriority w:val="99"/>
    <w:rsid w:val="001743D6"/>
    <w:pPr>
      <w:keepNext/>
      <w:tabs>
        <w:tab w:val="left" w:pos="2268"/>
      </w:tabs>
      <w:spacing w:before="240" w:after="60" w:line="240" w:lineRule="atLeast"/>
    </w:pPr>
    <w:rPr>
      <w:rFonts w:eastAsia="Times New Roman" w:cs="Arial"/>
      <w:b/>
      <w:color w:val="00B2A9"/>
      <w:sz w:val="24"/>
      <w:szCs w:val="32"/>
      <w:lang w:eastAsia="en-AU"/>
    </w:rPr>
  </w:style>
  <w:style w:type="paragraph" w:customStyle="1" w:styleId="BodyText12ptBefore">
    <w:name w:val="Body Text 12pt Before"/>
    <w:basedOn w:val="BodyText"/>
    <w:next w:val="BodyText"/>
    <w:qFormat/>
    <w:rsid w:val="001743D6"/>
    <w:pPr>
      <w:spacing w:before="240" w:line="240" w:lineRule="atLeast"/>
    </w:pPr>
    <w:rPr>
      <w:rFonts w:asciiTheme="minorHAnsi" w:eastAsia="Times New Roman" w:hAnsiTheme="minorHAnsi" w:cs="Times New Roman"/>
      <w:color w:val="363534"/>
      <w:sz w:val="20"/>
      <w:szCs w:val="20"/>
    </w:rPr>
  </w:style>
  <w:style w:type="paragraph" w:customStyle="1" w:styleId="TableofContents2">
    <w:name w:val="TableofContents2"/>
    <w:basedOn w:val="Normal"/>
    <w:semiHidden/>
    <w:rsid w:val="001743D6"/>
    <w:pPr>
      <w:keepNext/>
      <w:spacing w:after="120" w:line="230" w:lineRule="auto"/>
    </w:pPr>
    <w:rPr>
      <w:rFonts w:eastAsia="Times New Roman" w:cs="Arial"/>
      <w:color w:val="363534"/>
      <w:spacing w:val="-6"/>
      <w:sz w:val="40"/>
      <w:szCs w:val="28"/>
      <w:lang w:eastAsia="en-AU"/>
    </w:rPr>
  </w:style>
  <w:style w:type="paragraph" w:customStyle="1" w:styleId="TOC51">
    <w:name w:val="TOC 51"/>
    <w:basedOn w:val="Normal"/>
    <w:next w:val="Normal"/>
    <w:autoRedefine/>
    <w:uiPriority w:val="39"/>
    <w:rsid w:val="001743D6"/>
    <w:pPr>
      <w:tabs>
        <w:tab w:val="right" w:pos="9582"/>
      </w:tabs>
      <w:spacing w:before="240" w:after="60" w:line="240" w:lineRule="atLeast"/>
      <w:ind w:right="851"/>
    </w:pPr>
    <w:rPr>
      <w:rFonts w:eastAsia="Times New Roman" w:cs="Arial"/>
      <w:b/>
      <w:color w:val="00B2A9"/>
      <w:sz w:val="24"/>
      <w:szCs w:val="20"/>
      <w:lang w:eastAsia="en-AU"/>
    </w:rPr>
  </w:style>
  <w:style w:type="paragraph" w:styleId="TOC6">
    <w:name w:val="toc 6"/>
    <w:basedOn w:val="Normal"/>
    <w:next w:val="Normal"/>
    <w:autoRedefine/>
    <w:uiPriority w:val="39"/>
    <w:rsid w:val="001743D6"/>
    <w:pPr>
      <w:spacing w:after="100" w:line="240" w:lineRule="atLeast"/>
      <w:ind w:left="1000"/>
    </w:pPr>
    <w:rPr>
      <w:rFonts w:eastAsia="Times New Roman" w:cs="Arial"/>
      <w:color w:val="363534"/>
      <w:sz w:val="20"/>
      <w:szCs w:val="20"/>
      <w:lang w:eastAsia="en-AU"/>
    </w:rPr>
  </w:style>
  <w:style w:type="paragraph" w:styleId="TOC7">
    <w:name w:val="toc 7"/>
    <w:basedOn w:val="Normal"/>
    <w:next w:val="Normal"/>
    <w:autoRedefine/>
    <w:uiPriority w:val="39"/>
    <w:rsid w:val="001743D6"/>
    <w:pPr>
      <w:spacing w:after="100" w:line="240" w:lineRule="atLeast"/>
      <w:ind w:left="1200"/>
    </w:pPr>
    <w:rPr>
      <w:rFonts w:eastAsia="Times New Roman" w:cs="Arial"/>
      <w:color w:val="363534"/>
      <w:sz w:val="20"/>
      <w:szCs w:val="20"/>
      <w:lang w:eastAsia="en-AU"/>
    </w:rPr>
  </w:style>
  <w:style w:type="paragraph" w:customStyle="1" w:styleId="TOC81">
    <w:name w:val="TOC 81"/>
    <w:basedOn w:val="Normal"/>
    <w:next w:val="Normal"/>
    <w:autoRedefine/>
    <w:uiPriority w:val="39"/>
    <w:rsid w:val="001743D6"/>
    <w:pPr>
      <w:tabs>
        <w:tab w:val="right" w:leader="dot" w:pos="9582"/>
      </w:tabs>
      <w:spacing w:before="240" w:after="60" w:line="240" w:lineRule="atLeast"/>
      <w:ind w:right="851"/>
      <w:contextualSpacing/>
    </w:pPr>
    <w:rPr>
      <w:rFonts w:eastAsia="Times New Roman" w:cs="Arial"/>
      <w:b/>
      <w:color w:val="00B2A9"/>
      <w:sz w:val="24"/>
      <w:szCs w:val="20"/>
      <w:lang w:eastAsia="en-AU"/>
    </w:rPr>
  </w:style>
  <w:style w:type="character" w:customStyle="1" w:styleId="Bold">
    <w:name w:val="Bold"/>
    <w:rsid w:val="001743D6"/>
    <w:rPr>
      <w:b/>
    </w:rPr>
  </w:style>
  <w:style w:type="paragraph" w:customStyle="1" w:styleId="xContactDetails">
    <w:name w:val="xContact Details"/>
    <w:basedOn w:val="TableTextLeft"/>
    <w:uiPriority w:val="3"/>
    <w:semiHidden/>
    <w:rsid w:val="001743D6"/>
    <w:pPr>
      <w:spacing w:before="40"/>
      <w:contextualSpacing/>
    </w:pPr>
    <w:rPr>
      <w:rFonts w:asciiTheme="minorHAnsi" w:hAnsiTheme="minorHAnsi"/>
      <w:color w:val="363534"/>
      <w:sz w:val="16"/>
    </w:rPr>
  </w:style>
  <w:style w:type="paragraph" w:customStyle="1" w:styleId="xEntityDetails">
    <w:name w:val="xEntity Details"/>
    <w:basedOn w:val="xContactDetails"/>
    <w:uiPriority w:val="3"/>
    <w:semiHidden/>
    <w:rsid w:val="001743D6"/>
    <w:pPr>
      <w:framePr w:wrap="around" w:hAnchor="text"/>
    </w:pPr>
  </w:style>
  <w:style w:type="paragraph" w:customStyle="1" w:styleId="xStatus">
    <w:name w:val="xStatus"/>
    <w:basedOn w:val="Normal"/>
    <w:uiPriority w:val="3"/>
    <w:semiHidden/>
    <w:rsid w:val="001743D6"/>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120"/>
      <w:szCs w:val="24"/>
      <w:lang w:eastAsia="en-AU"/>
    </w:rPr>
  </w:style>
  <w:style w:type="character" w:styleId="IntenseEmphasis">
    <w:name w:val="Intense Emphasis"/>
    <w:rsid w:val="001743D6"/>
    <w:rPr>
      <w:b/>
      <w:bCs/>
      <w:i/>
      <w:iCs/>
      <w:color w:val="auto"/>
    </w:rPr>
  </w:style>
  <w:style w:type="paragraph" w:customStyle="1" w:styleId="BlockText1">
    <w:name w:val="Block Text1"/>
    <w:basedOn w:val="Normal"/>
    <w:next w:val="BlockText"/>
    <w:semiHidden/>
    <w:unhideWhenUsed/>
    <w:rsid w:val="001743D6"/>
    <w:pPr>
      <w:pBdr>
        <w:top w:val="single" w:sz="2" w:space="10" w:color="00B2A9" w:frame="1"/>
        <w:left w:val="single" w:sz="2" w:space="10" w:color="00B2A9" w:frame="1"/>
        <w:bottom w:val="single" w:sz="2" w:space="10" w:color="00B2A9" w:frame="1"/>
        <w:right w:val="single" w:sz="2" w:space="10" w:color="00B2A9" w:frame="1"/>
      </w:pBdr>
      <w:spacing w:after="0" w:line="240" w:lineRule="atLeast"/>
      <w:ind w:left="1152" w:right="1152"/>
    </w:pPr>
    <w:rPr>
      <w:rFonts w:eastAsia="PMingLiU"/>
      <w:i/>
      <w:iCs/>
      <w:color w:val="00B2A9"/>
      <w:sz w:val="20"/>
      <w:szCs w:val="20"/>
      <w:lang w:eastAsia="en-AU"/>
    </w:rPr>
  </w:style>
  <w:style w:type="paragraph" w:customStyle="1" w:styleId="IntenseQuote1">
    <w:name w:val="Intense Quote1"/>
    <w:basedOn w:val="Normal"/>
    <w:next w:val="Normal"/>
    <w:semiHidden/>
    <w:rsid w:val="001743D6"/>
    <w:pPr>
      <w:pBdr>
        <w:bottom w:val="single" w:sz="4" w:space="4" w:color="00B2A9"/>
      </w:pBdr>
      <w:spacing w:before="200" w:after="280" w:line="240" w:lineRule="atLeast"/>
      <w:ind w:left="936" w:right="936"/>
    </w:pPr>
    <w:rPr>
      <w:rFonts w:eastAsia="Times New Roman" w:cs="Arial"/>
      <w:b/>
      <w:bCs/>
      <w:i/>
      <w:iCs/>
      <w:color w:val="E5F7F6"/>
      <w:sz w:val="20"/>
      <w:szCs w:val="20"/>
      <w:lang w:eastAsia="en-AU"/>
    </w:rPr>
  </w:style>
  <w:style w:type="character" w:customStyle="1" w:styleId="IntenseQuoteChar">
    <w:name w:val="Intense Quote Char"/>
    <w:basedOn w:val="DefaultParagraphFont"/>
    <w:link w:val="IntenseQuote"/>
    <w:rsid w:val="001743D6"/>
    <w:rPr>
      <w:rFonts w:ascii="Arial" w:hAnsi="Arial" w:cs="Times New Roman"/>
      <w:b/>
      <w:bCs/>
      <w:i/>
      <w:iCs/>
      <w:color w:val="E5F7F6"/>
      <w:sz w:val="20"/>
      <w:szCs w:val="20"/>
    </w:rPr>
  </w:style>
  <w:style w:type="paragraph" w:customStyle="1" w:styleId="PullOutBoxBodyText">
    <w:name w:val="Pull Out Box Body Text"/>
    <w:basedOn w:val="Normal"/>
    <w:qFormat/>
    <w:rsid w:val="001743D6"/>
    <w:pPr>
      <w:spacing w:before="120" w:after="120" w:line="240" w:lineRule="atLeast"/>
      <w:ind w:left="142" w:right="142"/>
    </w:pPr>
    <w:rPr>
      <w:rFonts w:eastAsia="Times New Roman" w:cs="Arial"/>
      <w:color w:val="363534"/>
      <w:sz w:val="20"/>
      <w:szCs w:val="20"/>
      <w:lang w:eastAsia="en-AU"/>
    </w:rPr>
  </w:style>
  <w:style w:type="paragraph" w:customStyle="1" w:styleId="PullOutBoxHeading">
    <w:name w:val="Pull Out Box Heading"/>
    <w:basedOn w:val="PullOutBoxBodyText"/>
    <w:next w:val="PullOutBoxBodyText"/>
    <w:qFormat/>
    <w:rsid w:val="001743D6"/>
    <w:pPr>
      <w:keepNext/>
      <w:keepLines/>
    </w:pPr>
    <w:rPr>
      <w:b/>
      <w:szCs w:val="24"/>
    </w:rPr>
  </w:style>
  <w:style w:type="paragraph" w:customStyle="1" w:styleId="PullOutBoxBullet">
    <w:name w:val="Pull Out Box Bullet"/>
    <w:basedOn w:val="PullOutBoxBodyText"/>
    <w:qFormat/>
    <w:rsid w:val="001743D6"/>
    <w:pPr>
      <w:numPr>
        <w:numId w:val="21"/>
      </w:numPr>
    </w:pPr>
  </w:style>
  <w:style w:type="paragraph" w:customStyle="1" w:styleId="PullOutBoxBullet2">
    <w:name w:val="Pull Out Box Bullet 2"/>
    <w:basedOn w:val="PullOutBoxBodyText"/>
    <w:qFormat/>
    <w:rsid w:val="001743D6"/>
    <w:pPr>
      <w:numPr>
        <w:ilvl w:val="1"/>
        <w:numId w:val="21"/>
      </w:numPr>
    </w:pPr>
  </w:style>
  <w:style w:type="paragraph" w:customStyle="1" w:styleId="PullOutBoxBullet3">
    <w:name w:val="Pull Out Box Bullet 3"/>
    <w:basedOn w:val="PullOutBoxBodyText"/>
    <w:qFormat/>
    <w:rsid w:val="001743D6"/>
    <w:pPr>
      <w:numPr>
        <w:ilvl w:val="2"/>
        <w:numId w:val="21"/>
      </w:numPr>
    </w:pPr>
  </w:style>
  <w:style w:type="paragraph" w:customStyle="1" w:styleId="xBackPageWebAddress">
    <w:name w:val="xBack Page Web Address"/>
    <w:basedOn w:val="Normal"/>
    <w:semiHidden/>
    <w:rsid w:val="001743D6"/>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1743D6"/>
    <w:pPr>
      <w:spacing w:after="0" w:line="240" w:lineRule="atLeast"/>
    </w:pPr>
    <w:rPr>
      <w:rFonts w:eastAsia="Times New Roman" w:cs="Arial"/>
      <w:color w:val="FFFFFF"/>
      <w:sz w:val="20"/>
      <w:szCs w:val="20"/>
      <w:lang w:eastAsia="en-AU"/>
    </w:rPr>
  </w:style>
  <w:style w:type="paragraph" w:customStyle="1" w:styleId="Source">
    <w:name w:val="Source"/>
    <w:basedOn w:val="Normal"/>
    <w:next w:val="BodyText"/>
    <w:rsid w:val="001743D6"/>
    <w:pPr>
      <w:spacing w:before="60" w:after="60" w:line="180" w:lineRule="atLeast"/>
    </w:pPr>
    <w:rPr>
      <w:rFonts w:eastAsia="Times New Roman" w:cs="Arial"/>
      <w:b/>
      <w:i/>
      <w:color w:val="363534"/>
      <w:sz w:val="14"/>
      <w:szCs w:val="20"/>
      <w:lang w:eastAsia="en-AU"/>
    </w:rPr>
  </w:style>
  <w:style w:type="paragraph" w:customStyle="1" w:styleId="xDisclaimerText">
    <w:name w:val="xDisclaimer Text"/>
    <w:basedOn w:val="xContactDetails"/>
    <w:rsid w:val="001743D6"/>
    <w:pPr>
      <w:spacing w:before="0" w:after="0" w:line="175" w:lineRule="atLeast"/>
      <w:ind w:left="0" w:right="0"/>
      <w:contextualSpacing w:val="0"/>
    </w:pPr>
  </w:style>
  <w:style w:type="paragraph" w:customStyle="1" w:styleId="IntroFeatureText">
    <w:name w:val="Intro/Feature Text"/>
    <w:basedOn w:val="Normal"/>
    <w:next w:val="BodyText"/>
    <w:qFormat/>
    <w:rsid w:val="001743D6"/>
    <w:pPr>
      <w:spacing w:before="60" w:after="180" w:line="360" w:lineRule="exact"/>
    </w:pPr>
    <w:rPr>
      <w:rFonts w:eastAsia="Times New Roman" w:cs="Arial"/>
      <w:color w:val="00B2A9"/>
      <w:spacing w:val="-2"/>
      <w:sz w:val="32"/>
      <w:szCs w:val="20"/>
      <w:lang w:eastAsia="en-AU"/>
    </w:rPr>
  </w:style>
  <w:style w:type="character" w:customStyle="1" w:styleId="BoldAndItalics">
    <w:name w:val="Bold And Italics"/>
    <w:semiHidden/>
    <w:rsid w:val="001743D6"/>
    <w:rPr>
      <w:b/>
      <w:i/>
    </w:rPr>
  </w:style>
  <w:style w:type="paragraph" w:customStyle="1" w:styleId="CaptionDescriptive">
    <w:name w:val="Caption Descriptive"/>
    <w:basedOn w:val="BodyText"/>
    <w:next w:val="BodyText"/>
    <w:rsid w:val="001743D6"/>
    <w:pPr>
      <w:spacing w:before="60" w:after="60"/>
      <w:ind w:right="227"/>
    </w:pPr>
    <w:rPr>
      <w:rFonts w:asciiTheme="minorHAnsi" w:eastAsia="Times New Roman" w:hAnsiTheme="minorHAnsi" w:cs="Times New Roman"/>
      <w:i/>
      <w:color w:val="363534"/>
      <w:sz w:val="18"/>
      <w:szCs w:val="14"/>
    </w:rPr>
  </w:style>
  <w:style w:type="table" w:customStyle="1" w:styleId="PullOutBoxTable">
    <w:name w:val="Pull Out Box Table"/>
    <w:basedOn w:val="TableNormal"/>
    <w:uiPriority w:val="99"/>
    <w:rsid w:val="001743D6"/>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customStyle="1" w:styleId="NormalWeb1">
    <w:name w:val="Normal (Web)1"/>
    <w:basedOn w:val="Normal"/>
    <w:next w:val="NormalWeb"/>
    <w:uiPriority w:val="99"/>
    <w:unhideWhenUsed/>
    <w:rsid w:val="001743D6"/>
    <w:pPr>
      <w:spacing w:after="0" w:line="240" w:lineRule="atLeast"/>
    </w:pPr>
    <w:rPr>
      <w:rFonts w:eastAsia="PMingLiU" w:cs="Times New Roman"/>
      <w:color w:val="363534"/>
      <w:sz w:val="20"/>
      <w:szCs w:val="24"/>
      <w:lang w:eastAsia="en-AU"/>
    </w:rPr>
  </w:style>
  <w:style w:type="character" w:customStyle="1" w:styleId="MySuperscript">
    <w:name w:val="MySuperscript"/>
    <w:uiPriority w:val="1"/>
    <w:semiHidden/>
    <w:rsid w:val="001743D6"/>
    <w:rPr>
      <w:vertAlign w:val="superscript"/>
    </w:rPr>
  </w:style>
  <w:style w:type="character" w:customStyle="1" w:styleId="MySubscript">
    <w:name w:val="MySubscript"/>
    <w:uiPriority w:val="1"/>
    <w:semiHidden/>
    <w:rsid w:val="001743D6"/>
    <w:rPr>
      <w:vertAlign w:val="subscript"/>
    </w:rPr>
  </w:style>
  <w:style w:type="character" w:customStyle="1" w:styleId="MySuperscriptItalics">
    <w:name w:val="MySuperscript&amp;Italics"/>
    <w:uiPriority w:val="1"/>
    <w:semiHidden/>
    <w:rsid w:val="001743D6"/>
    <w:rPr>
      <w:i/>
      <w:vertAlign w:val="superscript"/>
    </w:rPr>
  </w:style>
  <w:style w:type="character" w:customStyle="1" w:styleId="MySubscriptItalics">
    <w:name w:val="MySubscript&amp;Italics"/>
    <w:uiPriority w:val="1"/>
    <w:semiHidden/>
    <w:rsid w:val="001743D6"/>
    <w:rPr>
      <w:i/>
      <w:vertAlign w:val="subscript"/>
    </w:rPr>
  </w:style>
  <w:style w:type="paragraph" w:customStyle="1" w:styleId="QuoteBullet">
    <w:name w:val="Quote Bullet"/>
    <w:basedOn w:val="Quote"/>
    <w:qFormat/>
    <w:rsid w:val="001743D6"/>
    <w:pPr>
      <w:numPr>
        <w:numId w:val="19"/>
      </w:numPr>
      <w:tabs>
        <w:tab w:val="left" w:pos="1134"/>
      </w:tabs>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QuoteBullet2">
    <w:name w:val="Quote Bullet 2"/>
    <w:basedOn w:val="Quote"/>
    <w:qFormat/>
    <w:rsid w:val="001743D6"/>
    <w:pPr>
      <w:numPr>
        <w:ilvl w:val="1"/>
        <w:numId w:val="19"/>
      </w:numPr>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PullOutBoxNumbered">
    <w:name w:val="Pull Out Box Numbered"/>
    <w:basedOn w:val="PullOutBoxBodyText"/>
    <w:qFormat/>
    <w:rsid w:val="001743D6"/>
    <w:pPr>
      <w:numPr>
        <w:numId w:val="17"/>
      </w:numPr>
    </w:pPr>
  </w:style>
  <w:style w:type="paragraph" w:customStyle="1" w:styleId="PullOutBoxNumbered2">
    <w:name w:val="Pull Out Box Numbered 2"/>
    <w:basedOn w:val="PullOutBoxBodyText"/>
    <w:qFormat/>
    <w:rsid w:val="001743D6"/>
    <w:pPr>
      <w:numPr>
        <w:ilvl w:val="1"/>
        <w:numId w:val="17"/>
      </w:numPr>
    </w:pPr>
  </w:style>
  <w:style w:type="paragraph" w:customStyle="1" w:styleId="PullOutBoxNumbered3">
    <w:name w:val="Pull Out Box Numbered 3"/>
    <w:basedOn w:val="PullOutBoxBodyText"/>
    <w:qFormat/>
    <w:rsid w:val="001743D6"/>
    <w:pPr>
      <w:numPr>
        <w:ilvl w:val="2"/>
        <w:numId w:val="17"/>
      </w:numPr>
    </w:pPr>
  </w:style>
  <w:style w:type="table" w:styleId="TableGrid10">
    <w:name w:val="Table Grid 1"/>
    <w:basedOn w:val="TableNormal"/>
    <w:rsid w:val="001743D6"/>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1743D6"/>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1743D6"/>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1743D6"/>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1743D6"/>
    <w:pPr>
      <w:spacing w:before="180" w:after="170"/>
    </w:pPr>
  </w:style>
  <w:style w:type="paragraph" w:customStyle="1" w:styleId="Heading1TopofPage">
    <w:name w:val="Heading 1 Top of Page"/>
    <w:basedOn w:val="Heading1"/>
    <w:next w:val="BodyText"/>
    <w:rsid w:val="001743D6"/>
    <w:pPr>
      <w:keepNext/>
      <w:keepLines/>
      <w:pageBreakBefore/>
      <w:framePr w:w="11906" w:h="1701" w:hSpace="11339" w:wrap="around" w:vAnchor="page" w:hAnchor="page" w:x="1" w:y="1"/>
      <w:spacing w:before="1300" w:after="360" w:line="440" w:lineRule="exact"/>
      <w:ind w:left="1134" w:right="1134"/>
    </w:pPr>
    <w:rPr>
      <w:rFonts w:ascii="Arial" w:eastAsia="Times New Roman" w:hAnsi="Arial" w:cs="Arial"/>
      <w:b/>
      <w:bCs/>
      <w:color w:val="00B2A9"/>
      <w:kern w:val="32"/>
      <w:sz w:val="40"/>
      <w:szCs w:val="32"/>
      <w:lang w:eastAsia="en-AU"/>
    </w:rPr>
  </w:style>
  <w:style w:type="paragraph" w:customStyle="1" w:styleId="SectionHeading">
    <w:name w:val="Section Heading"/>
    <w:basedOn w:val="Normal"/>
    <w:next w:val="BodyText"/>
    <w:semiHidden/>
    <w:qFormat/>
    <w:rsid w:val="001743D6"/>
    <w:pPr>
      <w:keepLines/>
      <w:pageBreakBefore/>
      <w:framePr w:w="11906" w:h="1701" w:hSpace="11339" w:wrap="around" w:vAnchor="page" w:hAnchor="page" w:xAlign="right" w:y="1"/>
      <w:spacing w:before="1300" w:after="0" w:line="240" w:lineRule="atLeast"/>
      <w:ind w:left="3969" w:right="1134"/>
      <w:jc w:val="right"/>
      <w:outlineLvl w:val="4"/>
    </w:pPr>
    <w:rPr>
      <w:rFonts w:eastAsia="Times New Roman" w:cs="Arial"/>
      <w:b/>
      <w:color w:val="FFFFFF"/>
      <w:sz w:val="52"/>
      <w:szCs w:val="40"/>
      <w:lang w:eastAsia="en-AU"/>
    </w:rPr>
  </w:style>
  <w:style w:type="paragraph" w:customStyle="1" w:styleId="HighlightBoxText">
    <w:name w:val="Highlight Box Text"/>
    <w:basedOn w:val="Normal"/>
    <w:qFormat/>
    <w:rsid w:val="001743D6"/>
    <w:pPr>
      <w:spacing w:before="120" w:after="120" w:line="300" w:lineRule="atLeast"/>
      <w:ind w:left="227" w:right="227"/>
    </w:pPr>
    <w:rPr>
      <w:rFonts w:eastAsia="Times New Roman" w:cs="Arial"/>
      <w:color w:val="FFFFFF"/>
      <w:spacing w:val="-2"/>
      <w:sz w:val="24"/>
      <w:szCs w:val="20"/>
      <w:lang w:eastAsia="en-AU"/>
    </w:rPr>
  </w:style>
  <w:style w:type="paragraph" w:customStyle="1" w:styleId="TitleBarText">
    <w:name w:val="Title Bar Text"/>
    <w:basedOn w:val="Normal"/>
    <w:uiPriority w:val="99"/>
    <w:qFormat/>
    <w:rsid w:val="001743D6"/>
    <w:pPr>
      <w:spacing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1743D6"/>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1743D6"/>
    <w:pPr>
      <w:jc w:val="right"/>
    </w:pPr>
    <w:rPr>
      <w:rFonts w:asciiTheme="minorHAnsi" w:hAnsiTheme="minorHAnsi" w:cs="Times New Roman"/>
      <w:color w:val="FFFFFF"/>
    </w:rPr>
  </w:style>
  <w:style w:type="paragraph" w:customStyle="1" w:styleId="xCoverStatus">
    <w:name w:val="xCoverStatus"/>
    <w:basedOn w:val="Normal"/>
    <w:semiHidden/>
    <w:rsid w:val="001743D6"/>
    <w:pPr>
      <w:spacing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1743D6"/>
    <w:pPr>
      <w:jc w:val="center"/>
    </w:pPr>
    <w:rPr>
      <w:rFonts w:asciiTheme="minorHAnsi" w:hAnsiTheme="minorHAnsi"/>
      <w:color w:val="363534"/>
    </w:rPr>
  </w:style>
  <w:style w:type="paragraph" w:customStyle="1" w:styleId="TableHeadingCentre">
    <w:name w:val="Table Heading Centre"/>
    <w:basedOn w:val="TableHeadingLeft"/>
    <w:qFormat/>
    <w:rsid w:val="001743D6"/>
    <w:pPr>
      <w:jc w:val="center"/>
    </w:pPr>
    <w:rPr>
      <w:rFonts w:asciiTheme="minorHAnsi" w:hAnsiTheme="minorHAnsi"/>
      <w:color w:val="FFFFFF"/>
    </w:rPr>
  </w:style>
  <w:style w:type="paragraph" w:customStyle="1" w:styleId="Footnotes2">
    <w:name w:val="Footnotes 2"/>
    <w:basedOn w:val="Normal"/>
    <w:rsid w:val="001743D6"/>
    <w:pPr>
      <w:numPr>
        <w:ilvl w:val="1"/>
        <w:numId w:val="18"/>
      </w:numPr>
      <w:spacing w:after="100" w:afterAutospacing="1" w:line="180" w:lineRule="atLeast"/>
      <w:ind w:left="568" w:hanging="284"/>
      <w:contextualSpacing/>
    </w:pPr>
    <w:rPr>
      <w:rFonts w:eastAsia="Times New Roman" w:cs="Arial"/>
      <w:color w:val="363534"/>
      <w:sz w:val="14"/>
      <w:szCs w:val="20"/>
      <w:lang w:eastAsia="en-AU"/>
    </w:rPr>
  </w:style>
  <w:style w:type="table" w:customStyle="1" w:styleId="HighlightTable">
    <w:name w:val="Highlight Table"/>
    <w:basedOn w:val="TableNormal"/>
    <w:uiPriority w:val="99"/>
    <w:rsid w:val="001743D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rsid w:val="001743D6"/>
    <w:pPr>
      <w:spacing w:before="60" w:line="240" w:lineRule="atLeast"/>
    </w:pPr>
    <w:rPr>
      <w:rFonts w:asciiTheme="minorHAnsi" w:eastAsia="Times New Roman" w:hAnsiTheme="minorHAnsi" w:cs="Times New Roman"/>
      <w:color w:val="00B2A9"/>
      <w:sz w:val="20"/>
      <w:szCs w:val="20"/>
    </w:rPr>
  </w:style>
  <w:style w:type="paragraph" w:customStyle="1" w:styleId="ListAlpha">
    <w:name w:val="List Alpha"/>
    <w:basedOn w:val="Normal"/>
    <w:qFormat/>
    <w:rsid w:val="001743D6"/>
    <w:pPr>
      <w:numPr>
        <w:numId w:val="22"/>
      </w:numPr>
      <w:spacing w:before="120" w:after="120" w:line="240" w:lineRule="atLeast"/>
    </w:pPr>
    <w:rPr>
      <w:rFonts w:eastAsia="Times New Roman" w:cs="Arial"/>
      <w:color w:val="363534"/>
      <w:sz w:val="20"/>
      <w:szCs w:val="20"/>
      <w:lang w:eastAsia="en-AU"/>
    </w:rPr>
  </w:style>
  <w:style w:type="paragraph" w:customStyle="1" w:styleId="ListAlpha2">
    <w:name w:val="List Alpha 2"/>
    <w:basedOn w:val="Normal"/>
    <w:qFormat/>
    <w:rsid w:val="001743D6"/>
    <w:pPr>
      <w:numPr>
        <w:ilvl w:val="1"/>
        <w:numId w:val="22"/>
      </w:numPr>
      <w:spacing w:before="120" w:after="120" w:line="240" w:lineRule="atLeast"/>
    </w:pPr>
    <w:rPr>
      <w:rFonts w:eastAsia="Times New Roman" w:cs="Arial"/>
      <w:color w:val="363534"/>
      <w:sz w:val="20"/>
      <w:szCs w:val="20"/>
      <w:lang w:eastAsia="en-AU"/>
    </w:rPr>
  </w:style>
  <w:style w:type="paragraph" w:customStyle="1" w:styleId="ListAlpha3">
    <w:name w:val="List Alpha 3"/>
    <w:basedOn w:val="Normal"/>
    <w:qFormat/>
    <w:rsid w:val="001743D6"/>
    <w:pPr>
      <w:numPr>
        <w:ilvl w:val="2"/>
        <w:numId w:val="22"/>
      </w:numPr>
      <w:spacing w:before="120" w:after="120" w:line="240" w:lineRule="atLeast"/>
    </w:pPr>
    <w:rPr>
      <w:rFonts w:eastAsia="Times New Roman" w:cs="Arial"/>
      <w:color w:val="363534"/>
      <w:sz w:val="20"/>
      <w:szCs w:val="20"/>
      <w:lang w:eastAsia="en-AU"/>
    </w:rPr>
  </w:style>
  <w:style w:type="paragraph" w:customStyle="1" w:styleId="HighlightBoxHeading">
    <w:name w:val="Highlight Box Heading"/>
    <w:basedOn w:val="HighlightBoxText"/>
    <w:qFormat/>
    <w:rsid w:val="001743D6"/>
    <w:rPr>
      <w:b/>
    </w:rPr>
  </w:style>
  <w:style w:type="paragraph" w:customStyle="1" w:styleId="HighlightBoxBullet">
    <w:name w:val="Highlight Box Bullet"/>
    <w:basedOn w:val="HighlightBoxText"/>
    <w:qFormat/>
    <w:rsid w:val="001743D6"/>
    <w:pPr>
      <w:numPr>
        <w:numId w:val="24"/>
      </w:numPr>
      <w:tabs>
        <w:tab w:val="left" w:pos="454"/>
      </w:tabs>
    </w:pPr>
  </w:style>
  <w:style w:type="character" w:customStyle="1" w:styleId="MyUnderline">
    <w:name w:val="MyUnderline"/>
    <w:uiPriority w:val="1"/>
    <w:semiHidden/>
    <w:rsid w:val="001743D6"/>
    <w:rPr>
      <w:u w:val="single"/>
      <w:lang w:eastAsia="en-AU"/>
    </w:rPr>
  </w:style>
  <w:style w:type="character" w:customStyle="1" w:styleId="MyBoldItalicsUnderline">
    <w:name w:val="MyBoldItalicsUnderline"/>
    <w:uiPriority w:val="1"/>
    <w:semiHidden/>
    <w:rsid w:val="001743D6"/>
    <w:rPr>
      <w:b/>
      <w:i/>
      <w:u w:val="single"/>
    </w:rPr>
  </w:style>
  <w:style w:type="character" w:customStyle="1" w:styleId="MyBoldUnderline">
    <w:name w:val="MyBoldUnderline"/>
    <w:uiPriority w:val="1"/>
    <w:semiHidden/>
    <w:rsid w:val="001743D6"/>
    <w:rPr>
      <w:b/>
      <w:u w:val="single"/>
    </w:rPr>
  </w:style>
  <w:style w:type="character" w:customStyle="1" w:styleId="MyItalicsUnderline">
    <w:name w:val="MyItalicsUnderline"/>
    <w:uiPriority w:val="1"/>
    <w:semiHidden/>
    <w:rsid w:val="001743D6"/>
    <w:rPr>
      <w:i/>
      <w:u w:val="single"/>
    </w:rPr>
  </w:style>
  <w:style w:type="paragraph" w:customStyle="1" w:styleId="SmallBodyText">
    <w:name w:val="Small Body Text"/>
    <w:basedOn w:val="xDisclaimerText"/>
    <w:qFormat/>
    <w:rsid w:val="001743D6"/>
    <w:pPr>
      <w:spacing w:before="40" w:after="40" w:line="220" w:lineRule="atLeast"/>
    </w:pPr>
    <w:rPr>
      <w:sz w:val="18"/>
    </w:rPr>
  </w:style>
  <w:style w:type="paragraph" w:customStyle="1" w:styleId="SmallBullet">
    <w:name w:val="Small Bullet"/>
    <w:basedOn w:val="SmallBodyText"/>
    <w:qFormat/>
    <w:rsid w:val="001743D6"/>
    <w:pPr>
      <w:numPr>
        <w:numId w:val="23"/>
      </w:numPr>
    </w:pPr>
  </w:style>
  <w:style w:type="paragraph" w:customStyle="1" w:styleId="SmallHeading">
    <w:name w:val="Small Heading"/>
    <w:basedOn w:val="xDisclaimerHeading"/>
    <w:next w:val="SmallBodyText"/>
    <w:qFormat/>
    <w:rsid w:val="001743D6"/>
    <w:pPr>
      <w:spacing w:after="40" w:line="220" w:lineRule="atLeast"/>
    </w:pPr>
    <w:rPr>
      <w:sz w:val="18"/>
    </w:rPr>
  </w:style>
  <w:style w:type="paragraph" w:customStyle="1" w:styleId="xWeb">
    <w:name w:val="xWeb"/>
    <w:basedOn w:val="Normal"/>
    <w:qFormat/>
    <w:rsid w:val="001743D6"/>
    <w:pPr>
      <w:spacing w:after="0" w:line="240" w:lineRule="auto"/>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1743D6"/>
    <w:pPr>
      <w:spacing w:after="0" w:line="240" w:lineRule="auto"/>
    </w:pPr>
    <w:rPr>
      <w:rFonts w:eastAsia="Times New Roman" w:cs="Arial"/>
      <w:color w:val="363534"/>
      <w:sz w:val="20"/>
      <w:szCs w:val="20"/>
      <w:lang w:eastAsia="en-AU"/>
    </w:rPr>
    <w:tblPr/>
  </w:style>
  <w:style w:type="paragraph" w:customStyle="1" w:styleId="xAccessibilityText">
    <w:name w:val="xAccessibility Text"/>
    <w:basedOn w:val="Normal"/>
    <w:semiHidden/>
    <w:qFormat/>
    <w:rsid w:val="001743D6"/>
    <w:pPr>
      <w:spacing w:after="0" w:line="300" w:lineRule="exact"/>
    </w:pPr>
    <w:rPr>
      <w:rFonts w:eastAsia="Times New Roman" w:cs="Arial"/>
      <w:color w:val="363534"/>
      <w:sz w:val="24"/>
      <w:szCs w:val="20"/>
      <w:lang w:eastAsia="en-AU"/>
    </w:rPr>
  </w:style>
  <w:style w:type="paragraph" w:customStyle="1" w:styleId="xAccessibilityHeading">
    <w:name w:val="xAccessibility Heading"/>
    <w:basedOn w:val="Normal"/>
    <w:semiHidden/>
    <w:qFormat/>
    <w:rsid w:val="001743D6"/>
    <w:pPr>
      <w:spacing w:before="170" w:after="20" w:line="300" w:lineRule="exact"/>
    </w:pPr>
    <w:rPr>
      <w:rFonts w:eastAsia="Times New Roman" w:cs="Arial"/>
      <w:b/>
      <w:color w:val="363534"/>
      <w:sz w:val="24"/>
      <w:szCs w:val="20"/>
      <w:lang w:eastAsia="en-AU"/>
    </w:rPr>
  </w:style>
  <w:style w:type="paragraph" w:customStyle="1" w:styleId="FooterEvenPageNumber">
    <w:name w:val="Footer Even Page Number"/>
    <w:basedOn w:val="FooterEven"/>
    <w:rsid w:val="001743D6"/>
    <w:pPr>
      <w:framePr w:wrap="around" w:vAnchor="page" w:hAnchor="margin" w:yAlign="bottom"/>
    </w:pPr>
    <w:rPr>
      <w:b/>
      <w:color w:val="00B2A9"/>
    </w:rPr>
  </w:style>
  <w:style w:type="character" w:customStyle="1" w:styleId="HiddenText">
    <w:name w:val="Hidden Text"/>
    <w:basedOn w:val="DefaultParagraphFont"/>
    <w:uiPriority w:val="1"/>
    <w:qFormat/>
    <w:rsid w:val="001743D6"/>
    <w:rPr>
      <w:vanish/>
      <w:color w:val="FF0000"/>
      <w:sz w:val="20"/>
      <w:u w:val="dotted"/>
    </w:rPr>
  </w:style>
  <w:style w:type="paragraph" w:customStyle="1" w:styleId="xWebCoverPage">
    <w:name w:val="xWebCoverPage"/>
    <w:basedOn w:val="xWeb"/>
    <w:semiHidden/>
    <w:qFormat/>
    <w:rsid w:val="001743D6"/>
    <w:rPr>
      <w:color w:val="00B2A9"/>
    </w:rPr>
  </w:style>
  <w:style w:type="paragraph" w:customStyle="1" w:styleId="xDisclaimertext4">
    <w:name w:val="xDisclaimer text 4"/>
    <w:basedOn w:val="xDisclaimertext3"/>
    <w:qFormat/>
    <w:rsid w:val="001743D6"/>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1743D6"/>
    <w:pPr>
      <w:framePr w:wrap="around"/>
      <w:spacing w:before="120" w:after="120"/>
    </w:pPr>
    <w:rPr>
      <w:b/>
      <w:color w:val="00B2A9"/>
      <w:sz w:val="20"/>
    </w:rPr>
  </w:style>
  <w:style w:type="paragraph" w:customStyle="1" w:styleId="xDisclaimertext5">
    <w:name w:val="xDisclaimer text 5"/>
    <w:basedOn w:val="xDisclaimertext4"/>
    <w:qFormat/>
    <w:rsid w:val="001743D6"/>
    <w:pPr>
      <w:framePr w:wrap="around"/>
      <w:spacing w:after="100"/>
      <w:ind w:right="3119"/>
    </w:pPr>
  </w:style>
  <w:style w:type="table" w:customStyle="1" w:styleId="TableGrid2">
    <w:name w:val="Table Grid2"/>
    <w:basedOn w:val="TableNormal"/>
    <w:next w:val="TableGrid"/>
    <w:rsid w:val="001743D6"/>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
    <w:name w:val="Light List - Accent 11"/>
    <w:basedOn w:val="TableNormal"/>
    <w:uiPriority w:val="61"/>
    <w:rsid w:val="001743D6"/>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Char1">
    <w:name w:val="Heading 4 Char1"/>
    <w:basedOn w:val="DefaultParagraphFont"/>
    <w:uiPriority w:val="9"/>
    <w:semiHidden/>
    <w:rsid w:val="001743D6"/>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1743D6"/>
    <w:rPr>
      <w:rFonts w:asciiTheme="majorHAnsi" w:eastAsiaTheme="majorEastAsia" w:hAnsiTheme="majorHAnsi" w:cstheme="majorBidi"/>
      <w:color w:val="2F5496" w:themeColor="accent1" w:themeShade="BF"/>
      <w:sz w:val="32"/>
      <w:szCs w:val="32"/>
    </w:rPr>
  </w:style>
  <w:style w:type="character" w:customStyle="1" w:styleId="Heading7Char1">
    <w:name w:val="Heading 7 Char1"/>
    <w:basedOn w:val="DefaultParagraphFont"/>
    <w:uiPriority w:val="9"/>
    <w:semiHidden/>
    <w:rsid w:val="001743D6"/>
    <w:rPr>
      <w:rFonts w:asciiTheme="majorHAnsi" w:eastAsiaTheme="majorEastAsia" w:hAnsiTheme="majorHAnsi" w:cstheme="majorBidi"/>
      <w:i/>
      <w:iCs/>
      <w:color w:val="1F3763" w:themeColor="accent1" w:themeShade="7F"/>
    </w:rPr>
  </w:style>
  <w:style w:type="character" w:customStyle="1" w:styleId="Heading9Char1">
    <w:name w:val="Heading 9 Char1"/>
    <w:basedOn w:val="DefaultParagraphFont"/>
    <w:uiPriority w:val="9"/>
    <w:semiHidden/>
    <w:rsid w:val="001743D6"/>
    <w:rPr>
      <w:rFonts w:asciiTheme="majorHAnsi" w:eastAsiaTheme="majorEastAsia" w:hAnsiTheme="majorHAnsi" w:cstheme="majorBidi"/>
      <w:i/>
      <w:iCs/>
      <w:color w:val="272727" w:themeColor="text1" w:themeTint="D8"/>
      <w:sz w:val="21"/>
      <w:szCs w:val="21"/>
    </w:rPr>
  </w:style>
  <w:style w:type="character" w:customStyle="1" w:styleId="Heading8Char1">
    <w:name w:val="Heading 8 Char1"/>
    <w:basedOn w:val="DefaultParagraphFont"/>
    <w:uiPriority w:val="9"/>
    <w:semiHidden/>
    <w:rsid w:val="001743D6"/>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unhideWhenUsed/>
    <w:rsid w:val="001743D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IntenseQuote">
    <w:name w:val="Intense Quote"/>
    <w:basedOn w:val="Normal"/>
    <w:next w:val="Normal"/>
    <w:link w:val="IntenseQuoteChar"/>
    <w:qFormat/>
    <w:rsid w:val="001743D6"/>
    <w:pPr>
      <w:pBdr>
        <w:top w:val="single" w:sz="4" w:space="10" w:color="4472C4" w:themeColor="accent1"/>
        <w:bottom w:val="single" w:sz="4" w:space="10" w:color="4472C4" w:themeColor="accent1"/>
      </w:pBdr>
      <w:spacing w:before="360" w:after="360"/>
      <w:ind w:left="864" w:right="864"/>
      <w:jc w:val="center"/>
    </w:pPr>
    <w:rPr>
      <w:rFonts w:ascii="Arial" w:hAnsi="Arial" w:cs="Times New Roman"/>
      <w:b/>
      <w:bCs/>
      <w:i/>
      <w:iCs/>
      <w:color w:val="E5F7F6"/>
      <w:sz w:val="20"/>
      <w:szCs w:val="20"/>
    </w:rPr>
  </w:style>
  <w:style w:type="character" w:customStyle="1" w:styleId="IntenseQuoteChar1">
    <w:name w:val="Intense Quote Char1"/>
    <w:basedOn w:val="DefaultParagraphFont"/>
    <w:uiPriority w:val="30"/>
    <w:rsid w:val="001743D6"/>
    <w:rPr>
      <w:i/>
      <w:iCs/>
      <w:color w:val="4472C4" w:themeColor="accent1"/>
    </w:rPr>
  </w:style>
  <w:style w:type="table" w:styleId="TableSimple2">
    <w:name w:val="Table Simple 2"/>
    <w:basedOn w:val="TableNormal"/>
    <w:uiPriority w:val="99"/>
    <w:semiHidden/>
    <w:unhideWhenUsed/>
    <w:rsid w:val="001743D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1">
    <w:name w:val="Heading 2 Char1"/>
    <w:basedOn w:val="DefaultParagraphFont"/>
    <w:uiPriority w:val="9"/>
    <w:semiHidden/>
    <w:rsid w:val="001743D6"/>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1743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174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74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43D6"/>
  </w:style>
  <w:style w:type="numbering" w:customStyle="1" w:styleId="NoList1111">
    <w:name w:val="No List1111"/>
    <w:next w:val="NoList"/>
    <w:uiPriority w:val="99"/>
    <w:semiHidden/>
    <w:unhideWhenUsed/>
    <w:rsid w:val="001743D6"/>
  </w:style>
  <w:style w:type="table" w:customStyle="1" w:styleId="TableGrid6">
    <w:name w:val="Table Grid6"/>
    <w:basedOn w:val="TableNormal"/>
    <w:next w:val="TableGrid"/>
    <w:rsid w:val="00174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2">
    <w:name w:val="x Table 2"/>
    <w:basedOn w:val="xTable1"/>
    <w:uiPriority w:val="99"/>
    <w:rsid w:val="001743D6"/>
    <w:pPr>
      <w:spacing w:after="0" w:line="240" w:lineRule="auto"/>
    </w:pPr>
    <w:rPr>
      <w:rFonts w:ascii="Segoe UI" w:hAnsi="Segoe UI"/>
      <w:sz w:val="19"/>
    </w:rPr>
    <w:tblPr>
      <w:tblBorders>
        <w:bottom w:val="none" w:sz="0" w:space="0" w:color="auto"/>
        <w:insideH w:val="single" w:sz="4" w:space="0" w:color="7F7F7F" w:themeColor="text1" w:themeTint="80"/>
      </w:tblBorders>
    </w:tblPr>
    <w:tcPr>
      <w:shd w:val="clear" w:color="auto" w:fill="auto"/>
    </w:tcPr>
    <w:tblStylePr w:type="firstRow">
      <w:pPr>
        <w:wordWrap/>
        <w:spacing w:beforeLines="0" w:before="20" w:beforeAutospacing="0" w:afterLines="0" w:after="20" w:afterAutospacing="0" w:line="240" w:lineRule="atLeast"/>
        <w:jc w:val="left"/>
      </w:pPr>
      <w:rPr>
        <w:rFonts w:ascii="Chiller" w:hAnsi="Chiller"/>
        <w:b w:val="0"/>
        <w:i w:val="0"/>
        <w:color w:val="auto"/>
        <w:sz w:val="19"/>
      </w:rPr>
      <w:tblPr/>
      <w:tcPr>
        <w:tcBorders>
          <w:bottom w:val="single" w:sz="4" w:space="0" w:color="auto"/>
        </w:tcBorders>
        <w:shd w:val="clear" w:color="auto" w:fill="E2EFD9" w:themeFill="accent6" w:themeFillTint="33"/>
        <w:vAlign w:val="bottom"/>
      </w:tcPr>
    </w:tblStylePr>
    <w:tblStylePr w:type="lastRow">
      <w:rPr>
        <w:rFonts w:ascii="Chiller" w:hAnsi="Chiller"/>
        <w:b/>
        <w:sz w:val="19"/>
      </w:rPr>
      <w:tblPr/>
      <w:tcPr>
        <w:tcBorders>
          <w:bottom w:val="single" w:sz="4" w:space="0" w:color="auto"/>
        </w:tcBorders>
      </w:tcPr>
    </w:tblStylePr>
    <w:tblStylePr w:type="firstCol">
      <w:rPr>
        <w:rFonts w:ascii="Chiller" w:hAnsi="Chiller"/>
        <w:sz w:val="19"/>
      </w:rPr>
    </w:tblStylePr>
    <w:tblStylePr w:type="band1Vert">
      <w:rPr>
        <w:rFonts w:ascii="Chiller" w:hAnsi="Chiller"/>
        <w:sz w:val="19"/>
      </w:rPr>
    </w:tblStylePr>
    <w:tblStylePr w:type="band2Vert">
      <w:rPr>
        <w:rFonts w:ascii="Chiller" w:hAnsi="Chiller"/>
        <w:sz w:val="19"/>
      </w:rPr>
      <w:tblPr/>
      <w:tcPr>
        <w:tcBorders>
          <w:left w:val="nil"/>
        </w:tcBorders>
      </w:tcPr>
    </w:tblStylePr>
    <w:tblStylePr w:type="band1Horz">
      <w:rPr>
        <w:rFonts w:ascii="Chiller" w:hAnsi="Chiller"/>
        <w:sz w:val="19"/>
      </w:rPr>
      <w:tblPr/>
      <w:tcPr>
        <w:tcBorders>
          <w:bottom w:val="nil"/>
          <w:insideH w:val="single" w:sz="4" w:space="0" w:color="auto"/>
        </w:tcBorders>
      </w:tcPr>
    </w:tblStylePr>
    <w:tblStylePr w:type="band2Horz">
      <w:rPr>
        <w:rFonts w:ascii="Chiller" w:hAnsi="Chiller"/>
        <w:sz w:val="19"/>
      </w:rPr>
      <w:tblPr/>
      <w:tcPr>
        <w:tcBorders>
          <w:left w:val="nil"/>
          <w:bottom w:val="single" w:sz="4" w:space="0" w:color="000000"/>
          <w:insideH w:val="single" w:sz="4" w:space="0" w:color="auto"/>
        </w:tcBorders>
      </w:tcPr>
    </w:tblStylePr>
    <w:tblStylePr w:type="nwCell">
      <w:pPr>
        <w:jc w:val="left"/>
      </w:pPr>
      <w:tblPr/>
      <w:tcPr>
        <w:vAlign w:val="bottom"/>
      </w:tcPr>
    </w:tblStylePr>
  </w:style>
  <w:style w:type="table" w:customStyle="1" w:styleId="LightList-Accent311">
    <w:name w:val="Light List - Accent 311"/>
    <w:basedOn w:val="TableNormal"/>
    <w:next w:val="LightList-Accent3"/>
    <w:uiPriority w:val="61"/>
    <w:rsid w:val="001743D6"/>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table" w:customStyle="1" w:styleId="LightShading11">
    <w:name w:val="Light Shading11"/>
    <w:basedOn w:val="TableNormal"/>
    <w:next w:val="LightShading"/>
    <w:uiPriority w:val="60"/>
    <w:rsid w:val="001743D6"/>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rsid w:val="001743D6"/>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1">
    <w:name w:val="Light Shading - Accent 611"/>
    <w:basedOn w:val="TableNormal"/>
    <w:next w:val="LightShading-Accent6"/>
    <w:uiPriority w:val="60"/>
    <w:rsid w:val="001743D6"/>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1">
    <w:name w:val="Light Shading - Accent 211"/>
    <w:basedOn w:val="TableGrid"/>
    <w:next w:val="LightShading-Accent2"/>
    <w:uiPriority w:val="60"/>
    <w:rsid w:val="001743D6"/>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table" w:customStyle="1" w:styleId="MediumList2-Accent111">
    <w:name w:val="Medium List 2 - Accent 111"/>
    <w:basedOn w:val="TableNormal"/>
    <w:next w:val="MediumList2-Accent1"/>
    <w:uiPriority w:val="66"/>
    <w:rsid w:val="001743D6"/>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table" w:customStyle="1" w:styleId="Frame1">
    <w:name w:val="Frame1"/>
    <w:basedOn w:val="TableNormal"/>
    <w:uiPriority w:val="99"/>
    <w:rsid w:val="001743D6"/>
    <w:pPr>
      <w:spacing w:after="0" w:line="240" w:lineRule="auto"/>
    </w:pPr>
    <w:tblPr>
      <w:tblCellMar>
        <w:left w:w="0" w:type="dxa"/>
        <w:right w:w="0" w:type="dxa"/>
      </w:tblCellMar>
    </w:tblPr>
  </w:style>
  <w:style w:type="table" w:customStyle="1" w:styleId="TableGrid31">
    <w:name w:val="Table Grid31"/>
    <w:basedOn w:val="TableNormal"/>
    <w:next w:val="TableGrid"/>
    <w:uiPriority w:val="59"/>
    <w:rsid w:val="001743D6"/>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unhideWhenUsed/>
    <w:rsid w:val="001743D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Shading2">
    <w:name w:val="Light Shading2"/>
    <w:basedOn w:val="TableNormal"/>
    <w:next w:val="LightShading"/>
    <w:uiPriority w:val="60"/>
    <w:unhideWhenUsed/>
    <w:rsid w:val="001743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unhideWhenUsed/>
    <w:rsid w:val="001743D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62">
    <w:name w:val="Light Shading - Accent 62"/>
    <w:basedOn w:val="TableNormal"/>
    <w:next w:val="LightShading-Accent6"/>
    <w:uiPriority w:val="60"/>
    <w:unhideWhenUsed/>
    <w:rsid w:val="001743D6"/>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Shading-Accent22">
    <w:name w:val="Light Shading - Accent 22"/>
    <w:basedOn w:val="TableNormal"/>
    <w:next w:val="LightShading-Accent2"/>
    <w:uiPriority w:val="60"/>
    <w:unhideWhenUsed/>
    <w:rsid w:val="001743D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MediumList2-Accent12">
    <w:name w:val="Medium List 2 - Accent 12"/>
    <w:basedOn w:val="TableNormal"/>
    <w:next w:val="MediumList2-Accent1"/>
    <w:uiPriority w:val="66"/>
    <w:unhideWhenUsed/>
    <w:rsid w:val="001743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1">
    <w:name w:val="Style11"/>
    <w:basedOn w:val="TableNormal"/>
    <w:uiPriority w:val="99"/>
    <w:rsid w:val="001743D6"/>
    <w:pPr>
      <w:spacing w:after="0" w:line="240" w:lineRule="auto"/>
    </w:pPr>
    <w:tblPr/>
  </w:style>
  <w:style w:type="table" w:customStyle="1" w:styleId="TableGrid11">
    <w:name w:val="Table Grid11"/>
    <w:basedOn w:val="TableNormal"/>
    <w:next w:val="TableGrid"/>
    <w:rsid w:val="00174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next w:val="TableColumns3"/>
    <w:rsid w:val="001743D6"/>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AsPlaceholder1">
    <w:name w:val="Table As Placeholder1"/>
    <w:basedOn w:val="TableNormal"/>
    <w:uiPriority w:val="99"/>
    <w:qFormat/>
    <w:rsid w:val="001743D6"/>
    <w:pPr>
      <w:spacing w:after="0" w:line="240" w:lineRule="atLeast"/>
    </w:pPr>
    <w:rPr>
      <w:rFonts w:eastAsia="Times New Roman" w:cs="Arial"/>
      <w:color w:val="363534"/>
      <w:sz w:val="20"/>
      <w:szCs w:val="20"/>
      <w:lang w:eastAsia="en-AU"/>
    </w:rPr>
    <w:tblPr>
      <w:tblCellMar>
        <w:left w:w="0" w:type="dxa"/>
        <w:right w:w="0" w:type="dxa"/>
      </w:tblCellMar>
    </w:tblPr>
  </w:style>
  <w:style w:type="table" w:customStyle="1" w:styleId="PullOutBoxTable1">
    <w:name w:val="Pull Out Box Table1"/>
    <w:basedOn w:val="TableNormal"/>
    <w:uiPriority w:val="99"/>
    <w:rsid w:val="001743D6"/>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table" w:customStyle="1" w:styleId="TableGrid110">
    <w:name w:val="Table Grid 11"/>
    <w:basedOn w:val="TableNormal"/>
    <w:next w:val="TableGrid10"/>
    <w:rsid w:val="001743D6"/>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1743D6"/>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1">
    <w:name w:val="Table Simple 211"/>
    <w:basedOn w:val="TableNormal"/>
    <w:next w:val="TableSimple2"/>
    <w:rsid w:val="001743D6"/>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1743D6"/>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ogoPlaceholder1">
    <w:name w:val="Logo Placeholder1"/>
    <w:basedOn w:val="TableNormal"/>
    <w:uiPriority w:val="99"/>
    <w:rsid w:val="001743D6"/>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table" w:customStyle="1" w:styleId="HighlightTable1">
    <w:name w:val="Highlight Table1"/>
    <w:basedOn w:val="TableNormal"/>
    <w:uiPriority w:val="99"/>
    <w:rsid w:val="001743D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table" w:customStyle="1" w:styleId="DELWPTableNormal1">
    <w:name w:val="DELWP Table Normal1"/>
    <w:basedOn w:val="TableNormal"/>
    <w:uiPriority w:val="99"/>
    <w:rsid w:val="001743D6"/>
    <w:pPr>
      <w:spacing w:after="0" w:line="240" w:lineRule="auto"/>
    </w:pPr>
    <w:rPr>
      <w:rFonts w:eastAsia="Times New Roman" w:cs="Arial"/>
      <w:color w:val="363534"/>
      <w:sz w:val="20"/>
      <w:szCs w:val="20"/>
      <w:lang w:eastAsia="en-AU"/>
    </w:rPr>
    <w:tblPr/>
  </w:style>
  <w:style w:type="table" w:customStyle="1" w:styleId="TableGrid21">
    <w:name w:val="Table Grid21"/>
    <w:basedOn w:val="TableNormal"/>
    <w:next w:val="TableGrid"/>
    <w:rsid w:val="001743D6"/>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1">
    <w:name w:val="Light List - Accent 111"/>
    <w:basedOn w:val="TableNormal"/>
    <w:uiPriority w:val="61"/>
    <w:rsid w:val="001743D6"/>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Simple22">
    <w:name w:val="Table Simple 22"/>
    <w:basedOn w:val="TableNormal"/>
    <w:next w:val="TableSimple2"/>
    <w:uiPriority w:val="99"/>
    <w:semiHidden/>
    <w:unhideWhenUsed/>
    <w:rsid w:val="001743D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174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1743D6"/>
    <w:rPr>
      <w:rFonts w:ascii="Courier New" w:eastAsia="Times New Roman" w:hAnsi="Courier New" w:cs="Courier New"/>
      <w:sz w:val="20"/>
      <w:szCs w:val="20"/>
      <w:lang w:eastAsia="en-AU"/>
    </w:rPr>
  </w:style>
  <w:style w:type="paragraph" w:customStyle="1" w:styleId="font6">
    <w:name w:val="font6"/>
    <w:basedOn w:val="Normal"/>
    <w:rsid w:val="001743D6"/>
    <w:pPr>
      <w:spacing w:before="100" w:beforeAutospacing="1" w:after="100" w:afterAutospacing="1" w:line="240" w:lineRule="auto"/>
    </w:pPr>
    <w:rPr>
      <w:rFonts w:ascii="Calibri" w:eastAsia="Times New Roman" w:hAnsi="Calibri" w:cs="Calibri"/>
      <w:b/>
      <w:bCs/>
      <w:color w:val="000000"/>
      <w:sz w:val="20"/>
      <w:szCs w:val="20"/>
      <w:lang w:eastAsia="en-AU"/>
    </w:rPr>
  </w:style>
  <w:style w:type="paragraph" w:customStyle="1" w:styleId="TableParagraph">
    <w:name w:val="Table Paragraph"/>
    <w:basedOn w:val="Normal"/>
    <w:uiPriority w:val="1"/>
    <w:rsid w:val="001743D6"/>
    <w:pPr>
      <w:widowControl w:val="0"/>
      <w:spacing w:after="0" w:line="240" w:lineRule="auto"/>
    </w:pPr>
    <w:rPr>
      <w:lang w:val="en-US"/>
    </w:rPr>
  </w:style>
  <w:style w:type="numbering" w:customStyle="1" w:styleId="NoList3">
    <w:name w:val="No List3"/>
    <w:next w:val="NoList"/>
    <w:uiPriority w:val="99"/>
    <w:semiHidden/>
    <w:unhideWhenUsed/>
    <w:rsid w:val="001743D6"/>
  </w:style>
  <w:style w:type="paragraph" w:customStyle="1" w:styleId="xl88">
    <w:name w:val="xl88"/>
    <w:basedOn w:val="Normal"/>
    <w:rsid w:val="001743D6"/>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9">
    <w:name w:val="xl89"/>
    <w:basedOn w:val="Normal"/>
    <w:rsid w:val="001743D6"/>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0">
    <w:name w:val="xl90"/>
    <w:basedOn w:val="Normal"/>
    <w:rsid w:val="001743D6"/>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1">
    <w:name w:val="xl91"/>
    <w:basedOn w:val="Normal"/>
    <w:rsid w:val="001743D6"/>
    <w:pPr>
      <w:pBdr>
        <w:top w:val="single" w:sz="4" w:space="0" w:color="FFFFFF"/>
        <w:left w:val="single" w:sz="4" w:space="0" w:color="D9D9D9"/>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2">
    <w:name w:val="xl92"/>
    <w:basedOn w:val="Normal"/>
    <w:rsid w:val="001743D6"/>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3">
    <w:name w:val="xl93"/>
    <w:basedOn w:val="Normal"/>
    <w:rsid w:val="001743D6"/>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4">
    <w:name w:val="xl94"/>
    <w:basedOn w:val="Normal"/>
    <w:rsid w:val="001743D6"/>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5">
    <w:name w:val="xl95"/>
    <w:basedOn w:val="Normal"/>
    <w:rsid w:val="001743D6"/>
    <w:pPr>
      <w:pBdr>
        <w:top w:val="single" w:sz="4" w:space="0" w:color="FFFFFF"/>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6">
    <w:name w:val="xl96"/>
    <w:basedOn w:val="Normal"/>
    <w:rsid w:val="001743D6"/>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7">
    <w:name w:val="xl97"/>
    <w:basedOn w:val="Normal"/>
    <w:rsid w:val="001743D6"/>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8">
    <w:name w:val="xl98"/>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9">
    <w:name w:val="xl99"/>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0">
    <w:name w:val="xl100"/>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1">
    <w:name w:val="xl101"/>
    <w:basedOn w:val="Normal"/>
    <w:rsid w:val="001743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2">
    <w:name w:val="xl102"/>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3">
    <w:name w:val="xl103"/>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4">
    <w:name w:val="xl104"/>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5">
    <w:name w:val="xl105"/>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6">
    <w:name w:val="xl106"/>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7">
    <w:name w:val="xl107"/>
    <w:basedOn w:val="Normal"/>
    <w:rsid w:val="001743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8">
    <w:name w:val="xl108"/>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09">
    <w:name w:val="xl109"/>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0">
    <w:name w:val="xl110"/>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1">
    <w:name w:val="xl111"/>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2">
    <w:name w:val="xl112"/>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3">
    <w:name w:val="xl113"/>
    <w:basedOn w:val="Normal"/>
    <w:rsid w:val="001743D6"/>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4">
    <w:name w:val="xl114"/>
    <w:basedOn w:val="Normal"/>
    <w:rsid w:val="001743D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5">
    <w:name w:val="xl115"/>
    <w:basedOn w:val="Normal"/>
    <w:rsid w:val="001743D6"/>
    <w:pPr>
      <w:pBdr>
        <w:top w:val="single" w:sz="4" w:space="0" w:color="FFFFFF"/>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6">
    <w:name w:val="xl116"/>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7">
    <w:name w:val="xl117"/>
    <w:basedOn w:val="Normal"/>
    <w:rsid w:val="001743D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8">
    <w:name w:val="xl118"/>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9">
    <w:name w:val="xl119"/>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0">
    <w:name w:val="xl120"/>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1">
    <w:name w:val="xl121"/>
    <w:basedOn w:val="Normal"/>
    <w:rsid w:val="00174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2">
    <w:name w:val="xl122"/>
    <w:basedOn w:val="Normal"/>
    <w:rsid w:val="001743D6"/>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3">
    <w:name w:val="xl123"/>
    <w:basedOn w:val="Normal"/>
    <w:rsid w:val="001743D6"/>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4">
    <w:name w:val="xl124"/>
    <w:basedOn w:val="Normal"/>
    <w:rsid w:val="001743D6"/>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5">
    <w:name w:val="xl125"/>
    <w:basedOn w:val="Normal"/>
    <w:rsid w:val="001743D6"/>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6">
    <w:name w:val="xl126"/>
    <w:basedOn w:val="Normal"/>
    <w:rsid w:val="001743D6"/>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7">
    <w:name w:val="xl127"/>
    <w:basedOn w:val="Normal"/>
    <w:rsid w:val="001743D6"/>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8">
    <w:name w:val="xl128"/>
    <w:basedOn w:val="Normal"/>
    <w:rsid w:val="001743D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9">
    <w:name w:val="xl129"/>
    <w:basedOn w:val="Normal"/>
    <w:rsid w:val="001743D6"/>
    <w:pPr>
      <w:pBdr>
        <w:top w:val="single" w:sz="4" w:space="0" w:color="FFFFFF"/>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0">
    <w:name w:val="xl130"/>
    <w:basedOn w:val="Normal"/>
    <w:rsid w:val="001743D6"/>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1">
    <w:name w:val="xl131"/>
    <w:basedOn w:val="Normal"/>
    <w:rsid w:val="001743D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2">
    <w:name w:val="xl132"/>
    <w:basedOn w:val="Normal"/>
    <w:rsid w:val="001743D6"/>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3">
    <w:name w:val="xl133"/>
    <w:basedOn w:val="Normal"/>
    <w:rsid w:val="001743D6"/>
    <w:pPr>
      <w:pBdr>
        <w:top w:val="single" w:sz="4" w:space="0" w:color="FFFFFF"/>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4">
    <w:name w:val="xl134"/>
    <w:basedOn w:val="Normal"/>
    <w:rsid w:val="001743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numbering" w:customStyle="1" w:styleId="Appendix1">
    <w:name w:val="Appendix1"/>
    <w:uiPriority w:val="99"/>
    <w:rsid w:val="001743D6"/>
    <w:pPr>
      <w:numPr>
        <w:numId w:val="30"/>
      </w:numPr>
    </w:pPr>
  </w:style>
  <w:style w:type="table" w:styleId="GridTable1Light">
    <w:name w:val="Grid Table 1 Light"/>
    <w:basedOn w:val="TableNormal"/>
    <w:uiPriority w:val="46"/>
    <w:rsid w:val="001743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7">
    <w:name w:val="font7"/>
    <w:basedOn w:val="Normal"/>
    <w:rsid w:val="001743D6"/>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8">
    <w:name w:val="font8"/>
    <w:basedOn w:val="Normal"/>
    <w:rsid w:val="001743D6"/>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DSEBody">
    <w:name w:val="DSE_Body"/>
    <w:rsid w:val="001743D6"/>
    <w:pPr>
      <w:spacing w:after="113" w:line="240" w:lineRule="atLeast"/>
      <w:jc w:val="both"/>
    </w:pPr>
    <w:rPr>
      <w:rFonts w:ascii="Arial" w:eastAsia="Times New Roman" w:hAnsi="Arial" w:cs="Arial"/>
      <w:sz w:val="18"/>
      <w:szCs w:val="24"/>
    </w:rPr>
  </w:style>
  <w:style w:type="character" w:customStyle="1" w:styleId="UnresolvedMention2">
    <w:name w:val="Unresolved Mention2"/>
    <w:basedOn w:val="DefaultParagraphFont"/>
    <w:uiPriority w:val="99"/>
    <w:semiHidden/>
    <w:unhideWhenUsed/>
    <w:rsid w:val="001743D6"/>
    <w:rPr>
      <w:color w:val="605E5C"/>
      <w:shd w:val="clear" w:color="auto" w:fill="E1DFDD"/>
    </w:rPr>
  </w:style>
  <w:style w:type="character" w:styleId="UnresolvedMention">
    <w:name w:val="Unresolved Mention"/>
    <w:basedOn w:val="DefaultParagraphFont"/>
    <w:uiPriority w:val="99"/>
    <w:semiHidden/>
    <w:unhideWhenUsed/>
    <w:rsid w:val="001743D6"/>
    <w:rPr>
      <w:color w:val="605E5C"/>
      <w:shd w:val="clear" w:color="auto" w:fill="E1DFDD"/>
    </w:rPr>
  </w:style>
  <w:style w:type="character" w:customStyle="1" w:styleId="attention2">
    <w:name w:val="attention2"/>
    <w:basedOn w:val="DefaultParagraphFont"/>
    <w:rsid w:val="001743D6"/>
    <w:rPr>
      <w:color w:val="C0504D"/>
    </w:rPr>
  </w:style>
  <w:style w:type="character" w:customStyle="1" w:styleId="UnresolvedMention3">
    <w:name w:val="Unresolved Mention3"/>
    <w:basedOn w:val="DefaultParagraphFont"/>
    <w:uiPriority w:val="99"/>
    <w:semiHidden/>
    <w:unhideWhenUsed/>
    <w:rsid w:val="001743D6"/>
    <w:rPr>
      <w:color w:val="605E5C"/>
      <w:shd w:val="clear" w:color="auto" w:fill="E1DFDD"/>
    </w:rPr>
  </w:style>
  <w:style w:type="paragraph" w:customStyle="1" w:styleId="xReferencelist">
    <w:name w:val="xReference list"/>
    <w:basedOn w:val="Normal"/>
    <w:qFormat/>
    <w:rsid w:val="001743D6"/>
    <w:pPr>
      <w:spacing w:after="80"/>
      <w:ind w:left="720" w:hanging="720"/>
    </w:pPr>
    <w:rPr>
      <w:rFonts w:ascii="Segoe UI" w:hAnsi="Segoe UI"/>
    </w:rPr>
  </w:style>
  <w:style w:type="paragraph" w:customStyle="1" w:styleId="xFootnotes">
    <w:name w:val="xFootnotes"/>
    <w:basedOn w:val="FootnoteText"/>
    <w:qFormat/>
    <w:rsid w:val="001743D6"/>
    <w:pPr>
      <w:ind w:left="340" w:hanging="340"/>
    </w:pPr>
    <w:rPr>
      <w:szCs w:val="18"/>
    </w:rPr>
  </w:style>
  <w:style w:type="paragraph" w:customStyle="1" w:styleId="xBodytext">
    <w:name w:val="xBody text"/>
    <w:qFormat/>
    <w:rsid w:val="001743D6"/>
    <w:pPr>
      <w:jc w:val="both"/>
    </w:pPr>
    <w:rPr>
      <w:rFonts w:ascii="Segoe UI" w:hAnsi="Segoe UI" w:cs="Segoe UI"/>
    </w:rPr>
  </w:style>
  <w:style w:type="paragraph" w:customStyle="1" w:styleId="xNumberedlista">
    <w:name w:val="xNumbered list (a)"/>
    <w:basedOn w:val="ListParagraph"/>
    <w:qFormat/>
    <w:rsid w:val="001743D6"/>
    <w:pPr>
      <w:numPr>
        <w:numId w:val="25"/>
      </w:numPr>
      <w:spacing w:before="0" w:after="160" w:line="259" w:lineRule="auto"/>
      <w:jc w:val="both"/>
    </w:pPr>
  </w:style>
  <w:style w:type="paragraph" w:customStyle="1" w:styleId="xBulletedlist">
    <w:name w:val="xBulleted list"/>
    <w:basedOn w:val="ListParagraph"/>
    <w:qFormat/>
    <w:rsid w:val="001743D6"/>
    <w:pPr>
      <w:numPr>
        <w:numId w:val="26"/>
      </w:numPr>
      <w:spacing w:before="0" w:after="160" w:line="259" w:lineRule="auto"/>
    </w:pPr>
  </w:style>
  <w:style w:type="paragraph" w:customStyle="1" w:styleId="xBulletedlistLevel2">
    <w:name w:val="xBulleted list Level 2"/>
    <w:basedOn w:val="ListParagraph"/>
    <w:qFormat/>
    <w:rsid w:val="001743D6"/>
    <w:pPr>
      <w:spacing w:before="0" w:after="160" w:line="259" w:lineRule="auto"/>
      <w:ind w:left="1440" w:hanging="360"/>
    </w:pPr>
  </w:style>
  <w:style w:type="paragraph" w:customStyle="1" w:styleId="xTabletextLeft">
    <w:name w:val="xTable text Left"/>
    <w:basedOn w:val="Normal"/>
    <w:qFormat/>
    <w:rsid w:val="001743D6"/>
    <w:pPr>
      <w:spacing w:before="20" w:after="0" w:line="240" w:lineRule="auto"/>
    </w:pPr>
    <w:rPr>
      <w:rFonts w:ascii="Segoe UI" w:eastAsia="Calibri" w:hAnsi="Segoe UI" w:cs="Calibri"/>
      <w:sz w:val="19"/>
      <w:szCs w:val="19"/>
      <w:lang w:eastAsia="en-AU"/>
    </w:rPr>
  </w:style>
  <w:style w:type="paragraph" w:customStyle="1" w:styleId="xTabletextRight">
    <w:name w:val="xTable text Right"/>
    <w:basedOn w:val="Normal"/>
    <w:qFormat/>
    <w:rsid w:val="001743D6"/>
    <w:pPr>
      <w:spacing w:before="20" w:after="0" w:line="240" w:lineRule="auto"/>
      <w:jc w:val="right"/>
    </w:pPr>
    <w:rPr>
      <w:rFonts w:ascii="Segoe UI" w:eastAsia="Calibri" w:hAnsi="Segoe UI" w:cs="Calibri"/>
      <w:color w:val="000000"/>
      <w:sz w:val="19"/>
      <w:szCs w:val="19"/>
      <w:lang w:eastAsia="en-AU"/>
    </w:rPr>
  </w:style>
  <w:style w:type="paragraph" w:customStyle="1" w:styleId="xTableheadingleft">
    <w:name w:val="xTable heading left"/>
    <w:rsid w:val="001743D6"/>
    <w:pPr>
      <w:spacing w:after="0"/>
    </w:pPr>
    <w:rPr>
      <w:rFonts w:ascii="Segoe UI" w:hAnsi="Segoe UI" w:cs="Segoe UI"/>
      <w:b/>
      <w:bCs/>
      <w:sz w:val="19"/>
      <w:szCs w:val="19"/>
      <w:lang w:eastAsia="en-AU"/>
    </w:rPr>
  </w:style>
  <w:style w:type="paragraph" w:customStyle="1" w:styleId="xTableorfiguresource">
    <w:name w:val="xTable or figure source"/>
    <w:qFormat/>
    <w:rsid w:val="001743D6"/>
    <w:pPr>
      <w:spacing w:before="80"/>
    </w:pPr>
    <w:rPr>
      <w:rFonts w:ascii="Segoe UI" w:eastAsia="STZhongsong" w:hAnsi="Segoe UI" w:cs="Segoe UI"/>
      <w:bCs/>
      <w:sz w:val="18"/>
      <w:szCs w:val="18"/>
      <w:lang w:eastAsia="ko-KR"/>
    </w:rPr>
  </w:style>
  <w:style w:type="paragraph" w:customStyle="1" w:styleId="xBodytextindented">
    <w:name w:val="xBody text indented"/>
    <w:basedOn w:val="ListParagraph"/>
    <w:rsid w:val="001743D6"/>
    <w:pPr>
      <w:contextualSpacing w:val="0"/>
      <w:jc w:val="both"/>
    </w:pPr>
  </w:style>
  <w:style w:type="paragraph" w:customStyle="1" w:styleId="xQuote">
    <w:name w:val="xQuote"/>
    <w:basedOn w:val="Normal"/>
    <w:qFormat/>
    <w:rsid w:val="001743D6"/>
    <w:pPr>
      <w:spacing w:line="250" w:lineRule="auto"/>
      <w:ind w:left="794" w:right="794"/>
      <w:jc w:val="both"/>
    </w:pPr>
    <w:rPr>
      <w:rFonts w:ascii="Segoe UI" w:hAnsi="Segoe UI" w:cs="Segoe UI"/>
      <w:iCs/>
      <w:sz w:val="20"/>
      <w:szCs w:val="14"/>
    </w:rPr>
  </w:style>
  <w:style w:type="paragraph" w:customStyle="1" w:styleId="xNumberedlist1">
    <w:name w:val="xNumbered list (1)"/>
    <w:basedOn w:val="ListParagraph"/>
    <w:qFormat/>
    <w:rsid w:val="001743D6"/>
    <w:pPr>
      <w:tabs>
        <w:tab w:val="num" w:pos="360"/>
      </w:tabs>
      <w:spacing w:line="259" w:lineRule="auto"/>
      <w:ind w:hanging="360"/>
    </w:pPr>
  </w:style>
  <w:style w:type="paragraph" w:customStyle="1" w:styleId="xQuoteindent">
    <w:name w:val="xQuote indent"/>
    <w:basedOn w:val="xQuote"/>
    <w:rsid w:val="001743D6"/>
    <w:pPr>
      <w:ind w:left="1440"/>
    </w:pPr>
  </w:style>
  <w:style w:type="paragraph" w:customStyle="1" w:styleId="xNumberedlisti">
    <w:name w:val="xNumbered list (i)"/>
    <w:basedOn w:val="Normal"/>
    <w:rsid w:val="001743D6"/>
    <w:pPr>
      <w:ind w:left="714" w:hanging="357"/>
      <w:contextualSpacing/>
    </w:pPr>
    <w:rPr>
      <w:rFonts w:ascii="Segoe UI" w:eastAsia="Gill Sans MT" w:hAnsi="Segoe UI" w:cs="Majalla UI"/>
    </w:rPr>
  </w:style>
  <w:style w:type="paragraph" w:customStyle="1" w:styleId="xTableorfigurenote">
    <w:name w:val="xTable or figure note"/>
    <w:basedOn w:val="xTableorfiguresource"/>
    <w:rsid w:val="001743D6"/>
    <w:pPr>
      <w:tabs>
        <w:tab w:val="left" w:pos="426"/>
      </w:tabs>
      <w:contextualSpacing/>
    </w:pPr>
  </w:style>
  <w:style w:type="paragraph" w:customStyle="1" w:styleId="definition">
    <w:name w:val="definition"/>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a">
    <w:name w:val="indenta"/>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ii">
    <w:name w:val="indentii"/>
    <w:basedOn w:val="Normal"/>
    <w:rsid w:val="001743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5">
    <w:name w:val="toc 5"/>
    <w:basedOn w:val="Normal"/>
    <w:next w:val="Normal"/>
    <w:autoRedefine/>
    <w:uiPriority w:val="39"/>
    <w:unhideWhenUsed/>
    <w:rsid w:val="001743D6"/>
    <w:pPr>
      <w:spacing w:after="100"/>
      <w:ind w:left="880"/>
    </w:pPr>
    <w:rPr>
      <w:rFonts w:ascii="Segoe UI" w:hAnsi="Segoe UI" w:cs="Segoe UI"/>
    </w:rPr>
  </w:style>
  <w:style w:type="paragraph" w:styleId="TOC8">
    <w:name w:val="toc 8"/>
    <w:basedOn w:val="Normal"/>
    <w:next w:val="Normal"/>
    <w:autoRedefine/>
    <w:uiPriority w:val="39"/>
    <w:unhideWhenUsed/>
    <w:rsid w:val="001743D6"/>
    <w:pPr>
      <w:spacing w:after="100"/>
      <w:ind w:left="1540"/>
    </w:pPr>
    <w:rPr>
      <w:rFonts w:eastAsiaTheme="minorEastAsia"/>
      <w:lang w:eastAsia="en-AU"/>
    </w:rPr>
  </w:style>
  <w:style w:type="paragraph" w:styleId="TOC9">
    <w:name w:val="toc 9"/>
    <w:basedOn w:val="Normal"/>
    <w:next w:val="Normal"/>
    <w:autoRedefine/>
    <w:uiPriority w:val="39"/>
    <w:unhideWhenUsed/>
    <w:rsid w:val="001743D6"/>
    <w:pPr>
      <w:spacing w:after="100"/>
      <w:ind w:left="1760"/>
    </w:pPr>
    <w:rPr>
      <w:rFonts w:eastAsiaTheme="minorEastAsia"/>
      <w:lang w:eastAsia="en-AU"/>
    </w:rPr>
  </w:style>
  <w:style w:type="paragraph" w:customStyle="1" w:styleId="xQuotebullet">
    <w:name w:val="xQuote bullet"/>
    <w:basedOn w:val="xQuoteindent"/>
    <w:rsid w:val="001743D6"/>
    <w:pPr>
      <w:numPr>
        <w:numId w:val="13"/>
      </w:numPr>
    </w:pPr>
  </w:style>
  <w:style w:type="paragraph" w:customStyle="1" w:styleId="xTableheadingcentre">
    <w:name w:val="xTable heading centre"/>
    <w:rsid w:val="001743D6"/>
    <w:pPr>
      <w:spacing w:after="0"/>
      <w:jc w:val="center"/>
    </w:pPr>
    <w:rPr>
      <w:rFonts w:ascii="Segoe UI" w:hAnsi="Segoe UI" w:cs="Segoe UI"/>
      <w:b/>
      <w:bCs/>
      <w:sz w:val="19"/>
      <w:szCs w:val="19"/>
    </w:rPr>
  </w:style>
  <w:style w:type="paragraph" w:customStyle="1" w:styleId="xTabletextCentre">
    <w:name w:val="xTable text Centre"/>
    <w:basedOn w:val="xTabletextLeft"/>
    <w:rsid w:val="001743D6"/>
    <w:pPr>
      <w:spacing w:before="0"/>
      <w:jc w:val="center"/>
    </w:pPr>
  </w:style>
  <w:style w:type="paragraph" w:customStyle="1" w:styleId="xTabletextLeft2">
    <w:name w:val="xTable text Left 2"/>
    <w:basedOn w:val="xTabletextLeft"/>
    <w:rsid w:val="001743D6"/>
    <w:pPr>
      <w:ind w:left="284"/>
    </w:pPr>
  </w:style>
  <w:style w:type="paragraph" w:customStyle="1" w:styleId="xTablebullets">
    <w:name w:val="xTable bullets"/>
    <w:basedOn w:val="xTabletextLeft"/>
    <w:rsid w:val="001743D6"/>
    <w:pPr>
      <w:ind w:left="2148" w:hanging="360"/>
    </w:pPr>
  </w:style>
  <w:style w:type="paragraph" w:customStyle="1" w:styleId="xTabletexthanging">
    <w:name w:val="xTable text hanging"/>
    <w:basedOn w:val="xTabletextLeft"/>
    <w:rsid w:val="001743D6"/>
    <w:pPr>
      <w:spacing w:before="0" w:after="80"/>
      <w:ind w:left="318" w:hanging="318"/>
    </w:pPr>
  </w:style>
  <w:style w:type="character" w:customStyle="1" w:styleId="xsuperscript">
    <w:name w:val="xsuperscript"/>
    <w:basedOn w:val="Bold"/>
    <w:uiPriority w:val="1"/>
    <w:rsid w:val="001743D6"/>
    <w:rPr>
      <w:b w:val="0"/>
      <w:vertAlign w:val="superscript"/>
    </w:rPr>
  </w:style>
  <w:style w:type="paragraph" w:customStyle="1" w:styleId="xTablebulletsindent">
    <w:name w:val="xTable bullets indent"/>
    <w:basedOn w:val="xTablebullets"/>
    <w:rsid w:val="001743D6"/>
    <w:pPr>
      <w:ind w:left="697"/>
    </w:pPr>
  </w:style>
  <w:style w:type="character" w:customStyle="1" w:styleId="notbold">
    <w:name w:val="not bold"/>
    <w:basedOn w:val="Bold"/>
    <w:uiPriority w:val="1"/>
    <w:rsid w:val="001743D6"/>
    <w:rPr>
      <w:b w:val="0"/>
      <w:color w:val="000000"/>
    </w:rPr>
  </w:style>
  <w:style w:type="paragraph" w:customStyle="1" w:styleId="xTablebullets2">
    <w:name w:val="xTable bullets 2"/>
    <w:basedOn w:val="xTablebullets"/>
    <w:rsid w:val="001743D6"/>
    <w:pPr>
      <w:ind w:left="616" w:hanging="284"/>
    </w:pPr>
  </w:style>
  <w:style w:type="paragraph" w:customStyle="1" w:styleId="xTabletextindent">
    <w:name w:val="xTable text indent"/>
    <w:basedOn w:val="xTabletextLeft"/>
    <w:rsid w:val="001743D6"/>
  </w:style>
  <w:style w:type="numbering" w:customStyle="1" w:styleId="NoList4">
    <w:name w:val="No List4"/>
    <w:next w:val="NoList"/>
    <w:uiPriority w:val="99"/>
    <w:semiHidden/>
    <w:unhideWhenUsed/>
    <w:rsid w:val="001743D6"/>
  </w:style>
  <w:style w:type="paragraph" w:styleId="Bibliography">
    <w:name w:val="Bibliography"/>
    <w:basedOn w:val="Normal"/>
    <w:next w:val="Normal"/>
    <w:uiPriority w:val="37"/>
    <w:unhideWhenUsed/>
    <w:rsid w:val="001743D6"/>
    <w:rPr>
      <w:rFonts w:ascii="Segoe UI" w:hAnsi="Segoe UI" w:cs="Segoe UI"/>
    </w:rPr>
  </w:style>
  <w:style w:type="paragraph" w:customStyle="1" w:styleId="xAcronymslist">
    <w:name w:val="xAcronyms list"/>
    <w:rsid w:val="001743D6"/>
    <w:pPr>
      <w:spacing w:after="0"/>
    </w:pPr>
    <w:rPr>
      <w:rFonts w:ascii="Segoe UI" w:hAnsi="Segoe UI" w:cs="Segoe UI"/>
      <w:color w:val="000000"/>
      <w:szCs w:val="19"/>
      <w:lang w:eastAsia="en-AU"/>
    </w:rPr>
  </w:style>
  <w:style w:type="character" w:customStyle="1" w:styleId="xTablenotesuperscript">
    <w:name w:val="xTable note (superscript)"/>
    <w:basedOn w:val="DefaultParagraphFont"/>
    <w:uiPriority w:val="1"/>
    <w:qFormat/>
    <w:rsid w:val="001743D6"/>
    <w:rPr>
      <w:position w:val="8"/>
    </w:rPr>
  </w:style>
  <w:style w:type="table" w:customStyle="1" w:styleId="dpitablestyle">
    <w:name w:val="dpi table style"/>
    <w:basedOn w:val="TableGrid"/>
    <w:uiPriority w:val="99"/>
    <w:rsid w:val="001743D6"/>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icrosoft JhengHei UI Light" w:hAnsi="Microsoft JhengHei UI Light"/>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1">
    <w:name w:val="dpi table style1"/>
    <w:basedOn w:val="TableGrid"/>
    <w:uiPriority w:val="99"/>
    <w:rsid w:val="001743D6"/>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2">
    <w:name w:val="dpi table style2"/>
    <w:basedOn w:val="TableGrid"/>
    <w:uiPriority w:val="99"/>
    <w:rsid w:val="001743D6"/>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paragraph" w:customStyle="1" w:styleId="xxxmsolistparagraph">
    <w:name w:val="x_x_x_msolistparagraph"/>
    <w:basedOn w:val="Normal"/>
    <w:rsid w:val="001743D6"/>
    <w:pPr>
      <w:spacing w:after="0" w:line="240" w:lineRule="auto"/>
      <w:ind w:left="720"/>
    </w:pPr>
    <w:rPr>
      <w:rFonts w:ascii="Calibri" w:hAnsi="Calibri" w:cs="Calibri"/>
      <w:lang w:eastAsia="en-AU"/>
    </w:rPr>
  </w:style>
  <w:style w:type="paragraph" w:customStyle="1" w:styleId="Indent15">
    <w:name w:val="Indent 1.5"/>
    <w:basedOn w:val="Normal"/>
    <w:rsid w:val="001743D6"/>
    <w:pPr>
      <w:keepLines/>
      <w:spacing w:before="240" w:after="0" w:line="240" w:lineRule="auto"/>
      <w:jc w:val="both"/>
    </w:pPr>
    <w:rPr>
      <w:rFonts w:ascii="Times New Roman" w:eastAsia="Times New Roman" w:hAnsi="Times New Roman" w:cs="Times New Roman"/>
      <w:sz w:val="24"/>
      <w:szCs w:val="20"/>
      <w:lang w:eastAsia="en-AU"/>
    </w:rPr>
  </w:style>
  <w:style w:type="paragraph" w:customStyle="1" w:styleId="Indent25">
    <w:name w:val="Indent 2.5"/>
    <w:basedOn w:val="Indent15"/>
    <w:rsid w:val="001743D6"/>
    <w:pPr>
      <w:ind w:left="1418" w:hanging="568"/>
    </w:pPr>
  </w:style>
  <w:style w:type="paragraph" w:customStyle="1" w:styleId="level2indent">
    <w:name w:val="level 2 indent"/>
    <w:basedOn w:val="Normal"/>
    <w:rsid w:val="001743D6"/>
    <w:pPr>
      <w:spacing w:after="0" w:line="240" w:lineRule="auto"/>
      <w:ind w:left="2160" w:hanging="720"/>
      <w:jc w:val="both"/>
    </w:pPr>
    <w:rPr>
      <w:rFonts w:ascii="Times New Roman" w:eastAsia="Times New Roman" w:hAnsi="Times New Roman" w:cs="Times New Roman"/>
      <w:szCs w:val="20"/>
      <w:lang w:eastAsia="en-AU"/>
    </w:rPr>
  </w:style>
  <w:style w:type="paragraph" w:customStyle="1" w:styleId="Def">
    <w:name w:val="Def"/>
    <w:basedOn w:val="Indent35"/>
    <w:rsid w:val="001743D6"/>
    <w:pPr>
      <w:ind w:left="709" w:firstLine="0"/>
    </w:pPr>
  </w:style>
  <w:style w:type="paragraph" w:customStyle="1" w:styleId="Indent35">
    <w:name w:val="Indent 3.5"/>
    <w:basedOn w:val="Indent25"/>
    <w:rsid w:val="001743D6"/>
    <w:pPr>
      <w:ind w:left="1985"/>
    </w:pPr>
  </w:style>
  <w:style w:type="paragraph" w:customStyle="1" w:styleId="level1indent">
    <w:name w:val="level 1 indent"/>
    <w:basedOn w:val="Normal"/>
    <w:rsid w:val="001743D6"/>
    <w:pPr>
      <w:spacing w:after="0" w:line="240" w:lineRule="auto"/>
      <w:ind w:left="1440" w:hanging="720"/>
      <w:jc w:val="both"/>
    </w:pPr>
    <w:rPr>
      <w:rFonts w:ascii="Times New Roman" w:eastAsia="Times New Roman" w:hAnsi="Times New Roman" w:cs="Times New Roman"/>
      <w:szCs w:val="20"/>
      <w:lang w:eastAsia="en-AU"/>
    </w:rPr>
  </w:style>
  <w:style w:type="paragraph" w:customStyle="1" w:styleId="standardunumberedpara">
    <w:name w:val="standard unumbered para"/>
    <w:basedOn w:val="StandardPara"/>
    <w:rsid w:val="001743D6"/>
  </w:style>
  <w:style w:type="paragraph" w:customStyle="1" w:styleId="StandardPara">
    <w:name w:val="Standard Para"/>
    <w:basedOn w:val="Normal"/>
    <w:rsid w:val="001743D6"/>
    <w:pPr>
      <w:spacing w:after="0" w:line="240" w:lineRule="auto"/>
      <w:ind w:left="567" w:hanging="567"/>
    </w:pPr>
    <w:rPr>
      <w:rFonts w:ascii="Times New Roman" w:eastAsia="Times New Roman" w:hAnsi="Times New Roman" w:cs="Times New Roman"/>
      <w:szCs w:val="20"/>
      <w:lang w:eastAsia="en-AU"/>
    </w:rPr>
  </w:style>
  <w:style w:type="paragraph" w:customStyle="1" w:styleId="level3indent">
    <w:name w:val="level 3 indent"/>
    <w:basedOn w:val="Normal"/>
    <w:rsid w:val="001743D6"/>
    <w:pPr>
      <w:spacing w:after="0" w:line="240" w:lineRule="auto"/>
      <w:ind w:left="2880" w:hanging="720"/>
      <w:jc w:val="both"/>
    </w:pPr>
    <w:rPr>
      <w:rFonts w:ascii="Times New Roman" w:eastAsia="Times New Roman" w:hAnsi="Times New Roman" w:cs="Times New Roman"/>
      <w:szCs w:val="20"/>
      <w:lang w:eastAsia="en-AU"/>
    </w:rPr>
  </w:style>
  <w:style w:type="paragraph" w:customStyle="1" w:styleId="P1">
    <w:name w:val="P1"/>
    <w:aliases w:val="(a)"/>
    <w:basedOn w:val="Normal"/>
    <w:rsid w:val="001743D6"/>
    <w:pPr>
      <w:keepNext/>
      <w:keepLines/>
      <w:tabs>
        <w:tab w:val="right" w:pos="1276"/>
      </w:tabs>
      <w:spacing w:before="40" w:after="0" w:line="260" w:lineRule="atLeast"/>
      <w:ind w:left="1560" w:hanging="1422"/>
      <w:jc w:val="both"/>
    </w:pPr>
    <w:rPr>
      <w:rFonts w:ascii="Times" w:eastAsia="Times New Roman" w:hAnsi="Times" w:cs="Times New Roman"/>
      <w:sz w:val="24"/>
      <w:szCs w:val="20"/>
      <w:lang w:eastAsia="en-AU"/>
    </w:rPr>
  </w:style>
  <w:style w:type="paragraph" w:customStyle="1" w:styleId="HR">
    <w:name w:val="HR"/>
    <w:aliases w:val="Regulation Heading"/>
    <w:basedOn w:val="Normal"/>
    <w:next w:val="R1"/>
    <w:rsid w:val="001743D6"/>
    <w:pPr>
      <w:keepNext/>
      <w:tabs>
        <w:tab w:val="left" w:pos="964"/>
      </w:tabs>
      <w:spacing w:before="360" w:after="0" w:line="240" w:lineRule="auto"/>
      <w:ind w:left="567" w:hanging="567"/>
    </w:pPr>
    <w:rPr>
      <w:rFonts w:ascii="Helvetica" w:eastAsia="Times New Roman" w:hAnsi="Helvetica" w:cs="Times New Roman"/>
      <w:b/>
      <w:sz w:val="24"/>
      <w:szCs w:val="20"/>
      <w:lang w:eastAsia="en-AU"/>
    </w:rPr>
  </w:style>
  <w:style w:type="paragraph" w:customStyle="1" w:styleId="R1">
    <w:name w:val="R1"/>
    <w:aliases w:val="1. or 1.(1)"/>
    <w:basedOn w:val="Normal"/>
    <w:next w:val="P1"/>
    <w:rsid w:val="001743D6"/>
    <w:pPr>
      <w:tabs>
        <w:tab w:val="right" w:pos="794"/>
        <w:tab w:val="left" w:pos="964"/>
      </w:tabs>
      <w:spacing w:before="120" w:after="0" w:line="260" w:lineRule="exact"/>
      <w:ind w:left="964" w:hanging="964"/>
      <w:jc w:val="both"/>
    </w:pPr>
    <w:rPr>
      <w:rFonts w:ascii="Times" w:eastAsia="Times New Roman" w:hAnsi="Times" w:cs="Times New Roman"/>
      <w:sz w:val="24"/>
      <w:szCs w:val="20"/>
      <w:lang w:eastAsia="en-AU"/>
    </w:rPr>
  </w:style>
  <w:style w:type="paragraph" w:customStyle="1" w:styleId="R2">
    <w:name w:val="R2"/>
    <w:aliases w:val="(2)"/>
    <w:basedOn w:val="R1"/>
    <w:rsid w:val="001743D6"/>
    <w:pPr>
      <w:spacing w:before="180"/>
    </w:pPr>
  </w:style>
  <w:style w:type="paragraph" w:customStyle="1" w:styleId="A2">
    <w:name w:val="A2"/>
    <w:aliases w:val="1.1 amendment"/>
    <w:basedOn w:val="Normal"/>
    <w:rsid w:val="001743D6"/>
    <w:pPr>
      <w:keepNext/>
      <w:spacing w:before="40" w:after="0" w:line="260" w:lineRule="atLeast"/>
      <w:jc w:val="both"/>
    </w:pPr>
    <w:rPr>
      <w:rFonts w:ascii="Times" w:eastAsia="Times New Roman" w:hAnsi="Times" w:cs="Times New Roman"/>
      <w:sz w:val="26"/>
      <w:szCs w:val="20"/>
      <w:lang w:eastAsia="en-AU"/>
    </w:rPr>
  </w:style>
  <w:style w:type="paragraph" w:customStyle="1" w:styleId="A1">
    <w:name w:val="A1"/>
    <w:aliases w:val="1. Amendment"/>
    <w:basedOn w:val="Normal"/>
    <w:next w:val="A2"/>
    <w:rsid w:val="001743D6"/>
    <w:pPr>
      <w:keepNext/>
      <w:spacing w:before="480" w:after="0" w:line="240" w:lineRule="atLeast"/>
      <w:jc w:val="both"/>
    </w:pPr>
    <w:rPr>
      <w:rFonts w:ascii="Times" w:eastAsia="Times New Roman" w:hAnsi="Times" w:cs="Times New Roman"/>
      <w:b/>
      <w:sz w:val="26"/>
      <w:szCs w:val="20"/>
      <w:lang w:eastAsia="en-AU"/>
    </w:rPr>
  </w:style>
  <w:style w:type="paragraph" w:styleId="BodyText2">
    <w:name w:val="Body Text 2"/>
    <w:basedOn w:val="Normal"/>
    <w:link w:val="BodyText2Char"/>
    <w:semiHidden/>
    <w:rsid w:val="001743D6"/>
    <w:pPr>
      <w:spacing w:before="120" w:after="0" w:line="240" w:lineRule="auto"/>
      <w:ind w:left="709"/>
      <w:jc w:val="both"/>
    </w:pPr>
    <w:rPr>
      <w:rFonts w:ascii="Times New Roman" w:eastAsia="Times New Roman" w:hAnsi="Times New Roman" w:cs="Times New Roman"/>
      <w:szCs w:val="20"/>
      <w:lang w:eastAsia="en-AU"/>
    </w:rPr>
  </w:style>
  <w:style w:type="character" w:customStyle="1" w:styleId="BodyText2Char">
    <w:name w:val="Body Text 2 Char"/>
    <w:basedOn w:val="DefaultParagraphFont"/>
    <w:link w:val="BodyText2"/>
    <w:semiHidden/>
    <w:rsid w:val="001743D6"/>
    <w:rPr>
      <w:rFonts w:ascii="Times New Roman" w:eastAsia="Times New Roman" w:hAnsi="Times New Roman" w:cs="Times New Roman"/>
      <w:szCs w:val="20"/>
      <w:lang w:eastAsia="en-AU"/>
    </w:rPr>
  </w:style>
  <w:style w:type="paragraph" w:styleId="BodyText3">
    <w:name w:val="Body Text 3"/>
    <w:basedOn w:val="Normal"/>
    <w:link w:val="BodyText3Char"/>
    <w:semiHidden/>
    <w:rsid w:val="001743D6"/>
    <w:pPr>
      <w:spacing w:after="0" w:line="240" w:lineRule="auto"/>
    </w:pPr>
    <w:rPr>
      <w:rFonts w:ascii="Times New Roman" w:eastAsia="Times New Roman" w:hAnsi="Times New Roman" w:cs="Times New Roman"/>
      <w:sz w:val="20"/>
      <w:szCs w:val="20"/>
      <w:lang w:eastAsia="en-AU"/>
    </w:rPr>
  </w:style>
  <w:style w:type="character" w:customStyle="1" w:styleId="BodyText3Char">
    <w:name w:val="Body Text 3 Char"/>
    <w:basedOn w:val="DefaultParagraphFont"/>
    <w:link w:val="BodyText3"/>
    <w:semiHidden/>
    <w:rsid w:val="001743D6"/>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semiHidden/>
    <w:rsid w:val="001743D6"/>
    <w:pPr>
      <w:spacing w:before="120" w:after="0" w:line="240" w:lineRule="auto"/>
      <w:ind w:left="709" w:hanging="709"/>
    </w:pPr>
    <w:rPr>
      <w:rFonts w:ascii="Times New Roman" w:eastAsia="Times New Roman" w:hAnsi="Times New Roman" w:cs="Times New Roman"/>
      <w:sz w:val="24"/>
      <w:szCs w:val="20"/>
      <w:lang w:eastAsia="en-AU"/>
    </w:rPr>
  </w:style>
  <w:style w:type="character" w:customStyle="1" w:styleId="BodyTextIndentChar">
    <w:name w:val="Body Text Indent Char"/>
    <w:basedOn w:val="DefaultParagraphFont"/>
    <w:link w:val="BodyTextIndent"/>
    <w:semiHidden/>
    <w:rsid w:val="001743D6"/>
    <w:rPr>
      <w:rFonts w:ascii="Times New Roman" w:eastAsia="Times New Roman" w:hAnsi="Times New Roman" w:cs="Times New Roman"/>
      <w:sz w:val="24"/>
      <w:szCs w:val="20"/>
      <w:lang w:eastAsia="en-AU"/>
    </w:rPr>
  </w:style>
  <w:style w:type="paragraph" w:styleId="BodyTextIndent3">
    <w:name w:val="Body Text Indent 3"/>
    <w:basedOn w:val="Normal"/>
    <w:link w:val="BodyTextIndent3Char"/>
    <w:semiHidden/>
    <w:rsid w:val="001743D6"/>
    <w:pPr>
      <w:spacing w:before="240" w:after="0" w:line="240" w:lineRule="auto"/>
      <w:ind w:left="993" w:hanging="993"/>
    </w:pPr>
    <w:rPr>
      <w:rFonts w:ascii="Times New Roman" w:eastAsia="Times New Roman" w:hAnsi="Times New Roman" w:cs="Times New Roman"/>
      <w:b/>
      <w:sz w:val="24"/>
      <w:szCs w:val="20"/>
      <w:lang w:eastAsia="en-AU"/>
    </w:rPr>
  </w:style>
  <w:style w:type="character" w:customStyle="1" w:styleId="BodyTextIndent3Char">
    <w:name w:val="Body Text Indent 3 Char"/>
    <w:basedOn w:val="DefaultParagraphFont"/>
    <w:link w:val="BodyTextIndent3"/>
    <w:semiHidden/>
    <w:rsid w:val="001743D6"/>
    <w:rPr>
      <w:rFonts w:ascii="Times New Roman" w:eastAsia="Times New Roman" w:hAnsi="Times New Roman" w:cs="Times New Roman"/>
      <w:b/>
      <w:sz w:val="24"/>
      <w:szCs w:val="20"/>
      <w:lang w:eastAsia="en-AU"/>
    </w:rPr>
  </w:style>
  <w:style w:type="paragraph" w:customStyle="1" w:styleId="DotLeader">
    <w:name w:val="Dot Leader"/>
    <w:basedOn w:val="Normal"/>
    <w:rsid w:val="001743D6"/>
    <w:pPr>
      <w:keepLines/>
      <w:tabs>
        <w:tab w:val="left" w:pos="8222"/>
      </w:tabs>
      <w:spacing w:after="0" w:line="240" w:lineRule="auto"/>
    </w:pPr>
    <w:rPr>
      <w:rFonts w:ascii="Times New Roman" w:eastAsia="Times New Roman" w:hAnsi="Times New Roman" w:cs="Times New Roman"/>
      <w:szCs w:val="20"/>
      <w:lang w:eastAsia="en-AU"/>
    </w:rPr>
  </w:style>
  <w:style w:type="paragraph" w:customStyle="1" w:styleId="dotpoint">
    <w:name w:val="dot point"/>
    <w:basedOn w:val="Normal"/>
    <w:rsid w:val="001743D6"/>
    <w:pPr>
      <w:numPr>
        <w:numId w:val="35"/>
      </w:numPr>
      <w:tabs>
        <w:tab w:val="clear" w:pos="360"/>
      </w:tabs>
      <w:spacing w:after="0" w:line="240" w:lineRule="auto"/>
      <w:ind w:left="284" w:hanging="284"/>
    </w:pPr>
    <w:rPr>
      <w:rFonts w:ascii="Times New Roman" w:eastAsia="Times New Roman" w:hAnsi="Times New Roman" w:cs="Times New Roman"/>
      <w:szCs w:val="20"/>
      <w:lang w:eastAsia="en-AU"/>
    </w:rPr>
  </w:style>
  <w:style w:type="paragraph" w:customStyle="1" w:styleId="Figure">
    <w:name w:val="Figure"/>
    <w:basedOn w:val="Normal"/>
    <w:rsid w:val="001743D6"/>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eastAsia="en-AU"/>
    </w:rPr>
  </w:style>
  <w:style w:type="paragraph" w:customStyle="1" w:styleId="lastdot">
    <w:name w:val="last dot"/>
    <w:basedOn w:val="dotpoint"/>
    <w:rsid w:val="001743D6"/>
    <w:pPr>
      <w:numPr>
        <w:numId w:val="34"/>
      </w:numPr>
      <w:tabs>
        <w:tab w:val="num" w:pos="680"/>
      </w:tabs>
      <w:spacing w:after="220"/>
      <w:ind w:left="284" w:hanging="284"/>
    </w:pPr>
  </w:style>
  <w:style w:type="paragraph" w:customStyle="1" w:styleId="References0">
    <w:name w:val="References"/>
    <w:basedOn w:val="Normal"/>
    <w:rsid w:val="001743D6"/>
    <w:pPr>
      <w:spacing w:after="240" w:line="360" w:lineRule="atLeast"/>
      <w:ind w:left="220" w:hanging="220"/>
      <w:jc w:val="both"/>
    </w:pPr>
    <w:rPr>
      <w:rFonts w:ascii="Times" w:eastAsia="Times New Roman" w:hAnsi="Times" w:cs="Times New Roman"/>
      <w:sz w:val="24"/>
      <w:szCs w:val="20"/>
      <w:lang w:eastAsia="en-AU"/>
    </w:rPr>
  </w:style>
  <w:style w:type="paragraph" w:customStyle="1" w:styleId="Tablefootnote">
    <w:name w:val="Table footnote"/>
    <w:basedOn w:val="Normal"/>
    <w:rsid w:val="001743D6"/>
    <w:pPr>
      <w:spacing w:after="220" w:line="180" w:lineRule="exact"/>
    </w:pPr>
    <w:rPr>
      <w:rFonts w:ascii="Times" w:eastAsia="Times New Roman" w:hAnsi="Times" w:cs="Times New Roman"/>
      <w:sz w:val="16"/>
      <w:szCs w:val="20"/>
      <w:lang w:eastAsia="en-AU"/>
    </w:rPr>
  </w:style>
  <w:style w:type="paragraph" w:customStyle="1" w:styleId="Nospaceafter">
    <w:name w:val="No space after"/>
    <w:basedOn w:val="Normal"/>
    <w:rsid w:val="001743D6"/>
    <w:pPr>
      <w:spacing w:after="0" w:line="240" w:lineRule="auto"/>
    </w:pPr>
    <w:rPr>
      <w:rFonts w:ascii="Times New Roman" w:eastAsia="Times New Roman" w:hAnsi="Times New Roman" w:cs="Times New Roman"/>
      <w:szCs w:val="20"/>
      <w:lang w:eastAsia="en-AU"/>
    </w:rPr>
  </w:style>
  <w:style w:type="paragraph" w:customStyle="1" w:styleId="Evenpageheader">
    <w:name w:val="Even page header"/>
    <w:basedOn w:val="Header"/>
    <w:rsid w:val="001743D6"/>
    <w:pPr>
      <w:widowControl w:val="0"/>
      <w:tabs>
        <w:tab w:val="clear" w:pos="4513"/>
        <w:tab w:val="clear" w:pos="9026"/>
        <w:tab w:val="center" w:pos="4153"/>
        <w:tab w:val="right" w:pos="8306"/>
      </w:tabs>
      <w:spacing w:before="0" w:after="120"/>
      <w:jc w:val="left"/>
    </w:pPr>
    <w:rPr>
      <w:rFonts w:ascii="Times New Roman" w:eastAsia="Times New Roman" w:hAnsi="Times New Roman" w:cs="Times New Roman"/>
      <w:i/>
      <w:color w:val="auto"/>
      <w:szCs w:val="20"/>
      <w:lang w:eastAsia="en-AU"/>
    </w:rPr>
  </w:style>
  <w:style w:type="paragraph" w:customStyle="1" w:styleId="reference">
    <w:name w:val="reference"/>
    <w:basedOn w:val="Normal"/>
    <w:rsid w:val="001743D6"/>
    <w:pPr>
      <w:tabs>
        <w:tab w:val="left" w:pos="7938"/>
      </w:tabs>
      <w:spacing w:before="120" w:after="0" w:line="240" w:lineRule="auto"/>
      <w:ind w:left="284" w:hanging="284"/>
    </w:pPr>
    <w:rPr>
      <w:rFonts w:ascii="Times New Roman" w:eastAsia="Times New Roman" w:hAnsi="Times New Roman" w:cs="Times New Roman"/>
      <w:szCs w:val="20"/>
      <w:lang w:val="en-US"/>
    </w:rPr>
  </w:style>
  <w:style w:type="paragraph" w:customStyle="1" w:styleId="rfa1">
    <w:name w:val="rfa1"/>
    <w:basedOn w:val="Normal"/>
    <w:rsid w:val="001743D6"/>
    <w:pPr>
      <w:numPr>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2">
    <w:name w:val="rfa2"/>
    <w:basedOn w:val="Normal"/>
    <w:rsid w:val="001743D6"/>
    <w:pPr>
      <w:numPr>
        <w:ilvl w:val="1"/>
        <w:numId w:val="37"/>
      </w:numPr>
      <w:spacing w:after="120" w:line="240" w:lineRule="auto"/>
    </w:pPr>
    <w:rPr>
      <w:rFonts w:ascii="Times New Roman" w:eastAsia="Times New Roman" w:hAnsi="Times New Roman" w:cs="Times New Roman"/>
      <w:sz w:val="24"/>
      <w:szCs w:val="20"/>
      <w:lang w:eastAsia="en-AU"/>
    </w:rPr>
  </w:style>
  <w:style w:type="paragraph" w:customStyle="1" w:styleId="rfa3">
    <w:name w:val="rfa3"/>
    <w:basedOn w:val="Normal"/>
    <w:rsid w:val="001743D6"/>
    <w:pPr>
      <w:numPr>
        <w:ilvl w:val="2"/>
        <w:numId w:val="37"/>
      </w:numPr>
      <w:spacing w:after="120" w:line="240" w:lineRule="auto"/>
    </w:pPr>
    <w:rPr>
      <w:rFonts w:ascii="Times New Roman" w:eastAsia="Times New Roman" w:hAnsi="Times New Roman" w:cs="Times New Roman"/>
      <w:sz w:val="24"/>
      <w:szCs w:val="20"/>
      <w:lang w:eastAsia="en-AU"/>
    </w:rPr>
  </w:style>
  <w:style w:type="paragraph" w:customStyle="1" w:styleId="rfa4">
    <w:name w:val="rfa4"/>
    <w:basedOn w:val="Normal"/>
    <w:rsid w:val="001743D6"/>
    <w:pPr>
      <w:numPr>
        <w:ilvl w:val="3"/>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5">
    <w:name w:val="rfa5"/>
    <w:basedOn w:val="Normal"/>
    <w:rsid w:val="001743D6"/>
    <w:pPr>
      <w:numPr>
        <w:ilvl w:val="4"/>
        <w:numId w:val="37"/>
      </w:numPr>
      <w:spacing w:after="0" w:line="240" w:lineRule="auto"/>
    </w:pPr>
    <w:rPr>
      <w:rFonts w:ascii="Times New Roman" w:eastAsia="Times New Roman" w:hAnsi="Times New Roman" w:cs="Times New Roman"/>
      <w:sz w:val="24"/>
      <w:szCs w:val="20"/>
      <w:lang w:eastAsia="en-AU"/>
    </w:rPr>
  </w:style>
  <w:style w:type="paragraph" w:customStyle="1" w:styleId="rfa6">
    <w:name w:val="rfa6"/>
    <w:basedOn w:val="Normal"/>
    <w:rsid w:val="001743D6"/>
    <w:pPr>
      <w:numPr>
        <w:ilvl w:val="5"/>
        <w:numId w:val="37"/>
      </w:numPr>
      <w:spacing w:after="120" w:line="240" w:lineRule="auto"/>
    </w:pPr>
    <w:rPr>
      <w:rFonts w:ascii="Times New Roman" w:eastAsia="Times New Roman" w:hAnsi="Times New Roman" w:cs="Times New Roman"/>
      <w:sz w:val="24"/>
      <w:szCs w:val="20"/>
      <w:lang w:eastAsia="en-AU"/>
    </w:rPr>
  </w:style>
  <w:style w:type="paragraph" w:customStyle="1" w:styleId="rfa7">
    <w:name w:val="rfa7"/>
    <w:basedOn w:val="Normal"/>
    <w:rsid w:val="001743D6"/>
    <w:pPr>
      <w:numPr>
        <w:ilvl w:val="6"/>
        <w:numId w:val="37"/>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8">
    <w:name w:val="rfa8"/>
    <w:basedOn w:val="Normal"/>
    <w:rsid w:val="001743D6"/>
    <w:pPr>
      <w:numPr>
        <w:ilvl w:val="7"/>
        <w:numId w:val="37"/>
      </w:numPr>
      <w:spacing w:after="120" w:line="240" w:lineRule="auto"/>
    </w:pPr>
    <w:rPr>
      <w:rFonts w:ascii="Times New Roman" w:eastAsia="Times New Roman" w:hAnsi="Times New Roman" w:cs="Times New Roman"/>
      <w:sz w:val="24"/>
      <w:szCs w:val="20"/>
      <w:lang w:eastAsia="en-AU"/>
    </w:rPr>
  </w:style>
  <w:style w:type="paragraph" w:customStyle="1" w:styleId="rfa9">
    <w:name w:val="rfa9"/>
    <w:basedOn w:val="Normal"/>
    <w:rsid w:val="001743D6"/>
    <w:pPr>
      <w:numPr>
        <w:ilvl w:val="8"/>
        <w:numId w:val="37"/>
      </w:numPr>
      <w:spacing w:after="120" w:line="240" w:lineRule="auto"/>
    </w:pPr>
    <w:rPr>
      <w:rFonts w:ascii="Times New Roman" w:eastAsia="Times New Roman" w:hAnsi="Times New Roman" w:cs="Times New Roman"/>
      <w:sz w:val="24"/>
      <w:szCs w:val="20"/>
      <w:lang w:eastAsia="en-AU"/>
    </w:rPr>
  </w:style>
  <w:style w:type="paragraph" w:customStyle="1" w:styleId="attachpara">
    <w:name w:val="attach para"/>
    <w:basedOn w:val="Normal"/>
    <w:autoRedefine/>
    <w:rsid w:val="001743D6"/>
    <w:pPr>
      <w:numPr>
        <w:numId w:val="38"/>
      </w:numPr>
      <w:tabs>
        <w:tab w:val="clear" w:pos="360"/>
      </w:tabs>
      <w:spacing w:after="120" w:line="240" w:lineRule="auto"/>
      <w:jc w:val="both"/>
    </w:pPr>
    <w:rPr>
      <w:rFonts w:ascii="Times New Roman" w:eastAsia="Times New Roman" w:hAnsi="Times New Roman" w:cs="Times New Roman"/>
      <w:sz w:val="24"/>
      <w:szCs w:val="20"/>
      <w:lang w:eastAsia="en-AU"/>
    </w:rPr>
  </w:style>
  <w:style w:type="paragraph" w:customStyle="1" w:styleId="dotpoint2">
    <w:name w:val="dot point2"/>
    <w:basedOn w:val="Normal"/>
    <w:autoRedefine/>
    <w:rsid w:val="001743D6"/>
    <w:pPr>
      <w:widowControl w:val="0"/>
      <w:tabs>
        <w:tab w:val="left" w:pos="709"/>
      </w:tabs>
      <w:spacing w:after="120" w:line="240" w:lineRule="auto"/>
      <w:ind w:left="709" w:hanging="284"/>
      <w:jc w:val="both"/>
    </w:pPr>
    <w:rPr>
      <w:rFonts w:ascii="Times New Roman" w:eastAsia="Times New Roman" w:hAnsi="Times New Roman" w:cs="Times New Roman"/>
      <w:sz w:val="24"/>
      <w:szCs w:val="20"/>
      <w:lang w:val="en-US"/>
    </w:rPr>
  </w:style>
  <w:style w:type="paragraph" w:customStyle="1" w:styleId="number">
    <w:name w:val="number"/>
    <w:basedOn w:val="Normal"/>
    <w:autoRedefine/>
    <w:rsid w:val="001743D6"/>
    <w:pPr>
      <w:widowControl w:val="0"/>
      <w:numPr>
        <w:numId w:val="36"/>
      </w:numPr>
      <w:tabs>
        <w:tab w:val="clear" w:pos="360"/>
      </w:tabs>
      <w:spacing w:after="120" w:line="240" w:lineRule="auto"/>
      <w:ind w:left="426" w:hanging="426"/>
      <w:jc w:val="both"/>
    </w:pPr>
    <w:rPr>
      <w:rFonts w:ascii="Times New Roman" w:eastAsia="Times New Roman" w:hAnsi="Times New Roman" w:cs="Times New Roman"/>
      <w:sz w:val="24"/>
      <w:szCs w:val="20"/>
      <w:lang w:val="en-US"/>
    </w:rPr>
  </w:style>
  <w:style w:type="paragraph" w:customStyle="1" w:styleId="headStyle1">
    <w:name w:val="headStyle1"/>
    <w:basedOn w:val="Normal"/>
    <w:rsid w:val="001743D6"/>
    <w:pPr>
      <w:widowControl w:val="0"/>
      <w:spacing w:after="0" w:line="240" w:lineRule="auto"/>
      <w:ind w:left="851" w:hanging="851"/>
    </w:pPr>
    <w:rPr>
      <w:rFonts w:ascii="Times New Roman" w:eastAsia="Times New Roman" w:hAnsi="Times New Roman" w:cs="Times New Roman"/>
      <w:b/>
      <w:sz w:val="32"/>
      <w:szCs w:val="20"/>
      <w:lang w:val="en-US" w:eastAsia="en-AU"/>
    </w:rPr>
  </w:style>
  <w:style w:type="paragraph" w:styleId="DocumentMap">
    <w:name w:val="Document Map"/>
    <w:basedOn w:val="Normal"/>
    <w:link w:val="DocumentMapChar"/>
    <w:semiHidden/>
    <w:rsid w:val="001743D6"/>
    <w:pPr>
      <w:shd w:val="clear" w:color="auto" w:fill="000080"/>
      <w:spacing w:after="0" w:line="240" w:lineRule="auto"/>
    </w:pPr>
    <w:rPr>
      <w:rFonts w:ascii="Tahoma" w:eastAsia="Times New Roman" w:hAnsi="Tahoma" w:cs="Times New Roman"/>
      <w:sz w:val="24"/>
      <w:szCs w:val="20"/>
      <w:lang w:eastAsia="en-AU"/>
    </w:rPr>
  </w:style>
  <w:style w:type="character" w:customStyle="1" w:styleId="DocumentMapChar">
    <w:name w:val="Document Map Char"/>
    <w:basedOn w:val="DefaultParagraphFont"/>
    <w:link w:val="DocumentMap"/>
    <w:semiHidden/>
    <w:rsid w:val="001743D6"/>
    <w:rPr>
      <w:rFonts w:ascii="Tahoma" w:eastAsia="Times New Roman" w:hAnsi="Tahoma" w:cs="Times New Roman"/>
      <w:sz w:val="24"/>
      <w:szCs w:val="20"/>
      <w:shd w:val="clear" w:color="auto" w:fill="000080"/>
      <w:lang w:eastAsia="en-AU"/>
    </w:rPr>
  </w:style>
  <w:style w:type="paragraph" w:customStyle="1" w:styleId="headingB">
    <w:name w:val="heading B"/>
    <w:basedOn w:val="Normal"/>
    <w:rsid w:val="001743D6"/>
    <w:pPr>
      <w:widowControl w:val="0"/>
      <w:spacing w:after="120" w:line="240" w:lineRule="auto"/>
    </w:pPr>
    <w:rPr>
      <w:rFonts w:ascii="Arial" w:eastAsia="Times New Roman" w:hAnsi="Arial" w:cs="Times New Roman"/>
      <w:caps/>
      <w:spacing w:val="-26"/>
      <w:sz w:val="32"/>
      <w:szCs w:val="20"/>
      <w:lang w:val="en-US" w:eastAsia="en-AU"/>
    </w:rPr>
  </w:style>
  <w:style w:type="paragraph" w:customStyle="1" w:styleId="Dash">
    <w:name w:val="Dash"/>
    <w:basedOn w:val="Normal"/>
    <w:rsid w:val="001743D6"/>
    <w:pPr>
      <w:numPr>
        <w:numId w:val="39"/>
      </w:numPr>
      <w:tabs>
        <w:tab w:val="clear" w:pos="360"/>
      </w:tabs>
      <w:spacing w:after="240" w:line="240" w:lineRule="auto"/>
      <w:ind w:left="709" w:hanging="283"/>
    </w:pPr>
    <w:rPr>
      <w:rFonts w:ascii="Times New Roman" w:eastAsia="Times New Roman" w:hAnsi="Times New Roman" w:cs="Times New Roman"/>
      <w:sz w:val="24"/>
      <w:szCs w:val="20"/>
      <w:lang w:eastAsia="en-AU"/>
    </w:rPr>
  </w:style>
  <w:style w:type="paragraph" w:customStyle="1" w:styleId="Doubledot">
    <w:name w:val="Double dot"/>
    <w:basedOn w:val="Dash"/>
    <w:rsid w:val="001743D6"/>
    <w:pPr>
      <w:numPr>
        <w:numId w:val="40"/>
      </w:numPr>
      <w:tabs>
        <w:tab w:val="clear" w:pos="1276"/>
        <w:tab w:val="num" w:pos="360"/>
      </w:tabs>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agriculture.gov.au/abares/forestsaustralia/forest-data-maps-and-tools/spatial-data/forest-cover"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po.org.au/sites/default/files/resource-files/2013/01/apo-nid155511-1212976.pdf" TargetMode="Externa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po.org.au/sites/default/files/resource-files/2013/01/apo-nid155511-1212976.pdf" TargetMode="External"/><Relationship Id="rId2" Type="http://schemas.openxmlformats.org/officeDocument/2006/relationships/hyperlink" Target="http://www.agriculture.gov.au/abares/forestsaustralia/Pages/forest-cover.aspx" TargetMode="External"/><Relationship Id="rId1" Type="http://schemas.openxmlformats.org/officeDocument/2006/relationships/hyperlink" Target="http://www.agriculture.gov.au/abares/forestsaustralia/sofr" TargetMode="External"/><Relationship Id="rId6" Type="http://schemas.openxmlformats.org/officeDocument/2006/relationships/hyperlink" Target="https://www.environment.vic.gov.au/biodiversity/biodiversity-response-planning" TargetMode="External"/><Relationship Id="rId5" Type="http://schemas.openxmlformats.org/officeDocument/2006/relationships/hyperlink" Target="http://maps.biodiversity.vic.gov.au/viewer/?viewer=NatureKit" TargetMode="External"/><Relationship Id="rId4" Type="http://schemas.openxmlformats.org/officeDocument/2006/relationships/hyperlink" Target="http://maps.biodiversity.vic.gov.au/viewer/?viewer=NatureKi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'F.Fragmentation RFA 2013 2018'!$C$55</c:f>
              <c:strCache>
                <c:ptCount val="1"/>
                <c:pt idx="0">
                  <c:v>CENTRAL HIGHLANDS</c:v>
                </c:pt>
              </c:strCache>
            </c:strRef>
          </c:tx>
          <c:spPr>
            <a:solidFill>
              <a:schemeClr val="accent1"/>
            </a:solidFill>
            <a:ln>
              <a:noFill/>
            </a:ln>
            <a:effectLst/>
          </c:spPr>
          <c:invertIfNegative val="0"/>
          <c:cat>
            <c:strRef>
              <c:f>'F.Fragmentation RFA 2013 2018'!$D$54:$H$54</c:f>
              <c:strCache>
                <c:ptCount val="5"/>
                <c:pt idx="0">
                  <c:v>Patch</c:v>
                </c:pt>
                <c:pt idx="1">
                  <c:v>Transitional</c:v>
                </c:pt>
                <c:pt idx="2">
                  <c:v>Edge</c:v>
                </c:pt>
                <c:pt idx="3">
                  <c:v>Perforated</c:v>
                </c:pt>
                <c:pt idx="4">
                  <c:v>Interior</c:v>
                </c:pt>
              </c:strCache>
            </c:strRef>
          </c:cat>
          <c:val>
            <c:numRef>
              <c:f>'F.Fragmentation RFA 2013 2018'!$D$55:$H$55</c:f>
              <c:numCache>
                <c:formatCode>#,##0.0</c:formatCode>
                <c:ptCount val="5"/>
                <c:pt idx="0">
                  <c:v>0.30885815108124248</c:v>
                </c:pt>
                <c:pt idx="1">
                  <c:v>-5.3391029065763984E-2</c:v>
                </c:pt>
                <c:pt idx="2">
                  <c:v>-0.62652513333801352</c:v>
                </c:pt>
                <c:pt idx="3">
                  <c:v>-3.5437319996942662E-2</c:v>
                </c:pt>
                <c:pt idx="4">
                  <c:v>0.40649533131949056</c:v>
                </c:pt>
              </c:numCache>
            </c:numRef>
          </c:val>
          <c:extLst>
            <c:ext xmlns:c16="http://schemas.microsoft.com/office/drawing/2014/chart" uri="{C3380CC4-5D6E-409C-BE32-E72D297353CC}">
              <c16:uniqueId val="{00000000-6649-4561-B970-30237C52BEB8}"/>
            </c:ext>
          </c:extLst>
        </c:ser>
        <c:ser>
          <c:idx val="1"/>
          <c:order val="1"/>
          <c:tx>
            <c:strRef>
              <c:f>'F.Fragmentation RFA 2013 2018'!$C$56</c:f>
              <c:strCache>
                <c:ptCount val="1"/>
                <c:pt idx="0">
                  <c:v>EAST GIPPSLAND</c:v>
                </c:pt>
              </c:strCache>
            </c:strRef>
          </c:tx>
          <c:spPr>
            <a:solidFill>
              <a:schemeClr val="accent2"/>
            </a:solidFill>
            <a:ln>
              <a:noFill/>
            </a:ln>
            <a:effectLst/>
          </c:spPr>
          <c:invertIfNegative val="0"/>
          <c:cat>
            <c:strRef>
              <c:f>'F.Fragmentation RFA 2013 2018'!$D$54:$H$54</c:f>
              <c:strCache>
                <c:ptCount val="5"/>
                <c:pt idx="0">
                  <c:v>Patch</c:v>
                </c:pt>
                <c:pt idx="1">
                  <c:v>Transitional</c:v>
                </c:pt>
                <c:pt idx="2">
                  <c:v>Edge</c:v>
                </c:pt>
                <c:pt idx="3">
                  <c:v>Perforated</c:v>
                </c:pt>
                <c:pt idx="4">
                  <c:v>Interior</c:v>
                </c:pt>
              </c:strCache>
            </c:strRef>
          </c:cat>
          <c:val>
            <c:numRef>
              <c:f>'F.Fragmentation RFA 2013 2018'!$D$56:$H$56</c:f>
              <c:numCache>
                <c:formatCode>#,##0.0</c:formatCode>
                <c:ptCount val="5"/>
                <c:pt idx="0">
                  <c:v>-7.5140080941865139E-2</c:v>
                </c:pt>
                <c:pt idx="1">
                  <c:v>-0.11385562907482838</c:v>
                </c:pt>
                <c:pt idx="2">
                  <c:v>-0.59133814264336237</c:v>
                </c:pt>
                <c:pt idx="3">
                  <c:v>-8.8709940938228815E-2</c:v>
                </c:pt>
                <c:pt idx="4">
                  <c:v>0.86904379359827999</c:v>
                </c:pt>
              </c:numCache>
            </c:numRef>
          </c:val>
          <c:extLst>
            <c:ext xmlns:c16="http://schemas.microsoft.com/office/drawing/2014/chart" uri="{C3380CC4-5D6E-409C-BE32-E72D297353CC}">
              <c16:uniqueId val="{00000001-6649-4561-B970-30237C52BEB8}"/>
            </c:ext>
          </c:extLst>
        </c:ser>
        <c:ser>
          <c:idx val="2"/>
          <c:order val="2"/>
          <c:tx>
            <c:strRef>
              <c:f>'F.Fragmentation RFA 2013 2018'!$C$57</c:f>
              <c:strCache>
                <c:ptCount val="1"/>
                <c:pt idx="0">
                  <c:v>GIPPSLAND</c:v>
                </c:pt>
              </c:strCache>
            </c:strRef>
          </c:tx>
          <c:spPr>
            <a:solidFill>
              <a:schemeClr val="accent3"/>
            </a:solidFill>
            <a:ln>
              <a:noFill/>
            </a:ln>
            <a:effectLst/>
          </c:spPr>
          <c:invertIfNegative val="0"/>
          <c:cat>
            <c:strRef>
              <c:f>'F.Fragmentation RFA 2013 2018'!$D$54:$H$54</c:f>
              <c:strCache>
                <c:ptCount val="5"/>
                <c:pt idx="0">
                  <c:v>Patch</c:v>
                </c:pt>
                <c:pt idx="1">
                  <c:v>Transitional</c:v>
                </c:pt>
                <c:pt idx="2">
                  <c:v>Edge</c:v>
                </c:pt>
                <c:pt idx="3">
                  <c:v>Perforated</c:v>
                </c:pt>
                <c:pt idx="4">
                  <c:v>Interior</c:v>
                </c:pt>
              </c:strCache>
            </c:strRef>
          </c:cat>
          <c:val>
            <c:numRef>
              <c:f>'F.Fragmentation RFA 2013 2018'!$D$57:$H$57</c:f>
              <c:numCache>
                <c:formatCode>#,##0.0</c:formatCode>
                <c:ptCount val="5"/>
                <c:pt idx="0">
                  <c:v>-0.16456068116212008</c:v>
                </c:pt>
                <c:pt idx="1">
                  <c:v>-0.17298373107692067</c:v>
                </c:pt>
                <c:pt idx="2">
                  <c:v>-1.4193540962992</c:v>
                </c:pt>
                <c:pt idx="3">
                  <c:v>-0.70578617908470775</c:v>
                </c:pt>
                <c:pt idx="4">
                  <c:v>2.4626846876229536</c:v>
                </c:pt>
              </c:numCache>
            </c:numRef>
          </c:val>
          <c:extLst>
            <c:ext xmlns:c16="http://schemas.microsoft.com/office/drawing/2014/chart" uri="{C3380CC4-5D6E-409C-BE32-E72D297353CC}">
              <c16:uniqueId val="{00000002-6649-4561-B970-30237C52BEB8}"/>
            </c:ext>
          </c:extLst>
        </c:ser>
        <c:ser>
          <c:idx val="3"/>
          <c:order val="3"/>
          <c:tx>
            <c:strRef>
              <c:f>'F.Fragmentation RFA 2013 2018'!$C$58</c:f>
              <c:strCache>
                <c:ptCount val="1"/>
                <c:pt idx="0">
                  <c:v>NORTH EAST</c:v>
                </c:pt>
              </c:strCache>
            </c:strRef>
          </c:tx>
          <c:spPr>
            <a:solidFill>
              <a:schemeClr val="accent4"/>
            </a:solidFill>
            <a:ln>
              <a:noFill/>
            </a:ln>
            <a:effectLst/>
          </c:spPr>
          <c:invertIfNegative val="0"/>
          <c:cat>
            <c:strRef>
              <c:f>'F.Fragmentation RFA 2013 2018'!$D$54:$H$54</c:f>
              <c:strCache>
                <c:ptCount val="5"/>
                <c:pt idx="0">
                  <c:v>Patch</c:v>
                </c:pt>
                <c:pt idx="1">
                  <c:v>Transitional</c:v>
                </c:pt>
                <c:pt idx="2">
                  <c:v>Edge</c:v>
                </c:pt>
                <c:pt idx="3">
                  <c:v>Perforated</c:v>
                </c:pt>
                <c:pt idx="4">
                  <c:v>Interior</c:v>
                </c:pt>
              </c:strCache>
            </c:strRef>
          </c:cat>
          <c:val>
            <c:numRef>
              <c:f>'F.Fragmentation RFA 2013 2018'!$D$58:$H$58</c:f>
              <c:numCache>
                <c:formatCode>#,##0.0</c:formatCode>
                <c:ptCount val="5"/>
                <c:pt idx="0">
                  <c:v>-7.8170672315621914E-2</c:v>
                </c:pt>
                <c:pt idx="1">
                  <c:v>-0.24166551428383443</c:v>
                </c:pt>
                <c:pt idx="2">
                  <c:v>-1.3422414918266945</c:v>
                </c:pt>
                <c:pt idx="3">
                  <c:v>-0.60491853314694932</c:v>
                </c:pt>
                <c:pt idx="4">
                  <c:v>2.266996211573101</c:v>
                </c:pt>
              </c:numCache>
            </c:numRef>
          </c:val>
          <c:extLst>
            <c:ext xmlns:c16="http://schemas.microsoft.com/office/drawing/2014/chart" uri="{C3380CC4-5D6E-409C-BE32-E72D297353CC}">
              <c16:uniqueId val="{00000003-6649-4561-B970-30237C52BEB8}"/>
            </c:ext>
          </c:extLst>
        </c:ser>
        <c:ser>
          <c:idx val="4"/>
          <c:order val="4"/>
          <c:tx>
            <c:strRef>
              <c:f>'F.Fragmentation RFA 2013 2018'!$C$59</c:f>
              <c:strCache>
                <c:ptCount val="1"/>
                <c:pt idx="0">
                  <c:v>WEST</c:v>
                </c:pt>
              </c:strCache>
            </c:strRef>
          </c:tx>
          <c:spPr>
            <a:solidFill>
              <a:schemeClr val="accent5"/>
            </a:solidFill>
            <a:ln>
              <a:noFill/>
            </a:ln>
            <a:effectLst/>
          </c:spPr>
          <c:invertIfNegative val="0"/>
          <c:cat>
            <c:strRef>
              <c:f>'F.Fragmentation RFA 2013 2018'!$D$54:$H$54</c:f>
              <c:strCache>
                <c:ptCount val="5"/>
                <c:pt idx="0">
                  <c:v>Patch</c:v>
                </c:pt>
                <c:pt idx="1">
                  <c:v>Transitional</c:v>
                </c:pt>
                <c:pt idx="2">
                  <c:v>Edge</c:v>
                </c:pt>
                <c:pt idx="3">
                  <c:v>Perforated</c:v>
                </c:pt>
                <c:pt idx="4">
                  <c:v>Interior</c:v>
                </c:pt>
              </c:strCache>
            </c:strRef>
          </c:cat>
          <c:val>
            <c:numRef>
              <c:f>'F.Fragmentation RFA 2013 2018'!$D$59:$H$59</c:f>
              <c:numCache>
                <c:formatCode>#,##0.0</c:formatCode>
                <c:ptCount val="5"/>
                <c:pt idx="0">
                  <c:v>-9.9910646756344867E-2</c:v>
                </c:pt>
                <c:pt idx="1">
                  <c:v>-0.21346766584875621</c:v>
                </c:pt>
                <c:pt idx="2">
                  <c:v>-1.0724630481164823</c:v>
                </c:pt>
                <c:pt idx="3">
                  <c:v>-0.27712224173527922</c:v>
                </c:pt>
                <c:pt idx="4">
                  <c:v>1.6629636024568555</c:v>
                </c:pt>
              </c:numCache>
            </c:numRef>
          </c:val>
          <c:extLst>
            <c:ext xmlns:c16="http://schemas.microsoft.com/office/drawing/2014/chart" uri="{C3380CC4-5D6E-409C-BE32-E72D297353CC}">
              <c16:uniqueId val="{00000004-6649-4561-B970-30237C52BEB8}"/>
            </c:ext>
          </c:extLst>
        </c:ser>
        <c:ser>
          <c:idx val="5"/>
          <c:order val="5"/>
          <c:tx>
            <c:strRef>
              <c:f>'F.Fragmentation RFA 2013 2018'!$C$60</c:f>
              <c:strCache>
                <c:ptCount val="1"/>
                <c:pt idx="0">
                  <c:v>Total</c:v>
                </c:pt>
              </c:strCache>
            </c:strRef>
          </c:tx>
          <c:spPr>
            <a:solidFill>
              <a:schemeClr val="accent6"/>
            </a:solidFill>
            <a:ln>
              <a:noFill/>
            </a:ln>
            <a:effectLst/>
          </c:spPr>
          <c:invertIfNegative val="0"/>
          <c:cat>
            <c:strRef>
              <c:f>'F.Fragmentation RFA 2013 2018'!$D$54:$H$54</c:f>
              <c:strCache>
                <c:ptCount val="5"/>
                <c:pt idx="0">
                  <c:v>Patch</c:v>
                </c:pt>
                <c:pt idx="1">
                  <c:v>Transitional</c:v>
                </c:pt>
                <c:pt idx="2">
                  <c:v>Edge</c:v>
                </c:pt>
                <c:pt idx="3">
                  <c:v>Perforated</c:v>
                </c:pt>
                <c:pt idx="4">
                  <c:v>Interior</c:v>
                </c:pt>
              </c:strCache>
            </c:strRef>
          </c:cat>
          <c:val>
            <c:numRef>
              <c:f>'F.Fragmentation RFA 2013 2018'!$D$60:$H$60</c:f>
              <c:numCache>
                <c:formatCode>#,##0.0</c:formatCode>
                <c:ptCount val="5"/>
                <c:pt idx="0">
                  <c:v>-4.8598444018983944E-2</c:v>
                </c:pt>
                <c:pt idx="1">
                  <c:v>-0.16147765249465529</c:v>
                </c:pt>
                <c:pt idx="2">
                  <c:v>-1.047326149401604</c:v>
                </c:pt>
                <c:pt idx="3">
                  <c:v>-0.38430953852976391</c:v>
                </c:pt>
                <c:pt idx="4">
                  <c:v>1.6417117844450075</c:v>
                </c:pt>
              </c:numCache>
            </c:numRef>
          </c:val>
          <c:extLst>
            <c:ext xmlns:c16="http://schemas.microsoft.com/office/drawing/2014/chart" uri="{C3380CC4-5D6E-409C-BE32-E72D297353CC}">
              <c16:uniqueId val="{00000005-6649-4561-B970-30237C52BEB8}"/>
            </c:ext>
          </c:extLst>
        </c:ser>
        <c:dLbls>
          <c:showLegendKey val="0"/>
          <c:showVal val="0"/>
          <c:showCatName val="0"/>
          <c:showSerName val="0"/>
          <c:showPercent val="0"/>
          <c:showBubbleSize val="0"/>
        </c:dLbls>
        <c:gapWidth val="219"/>
        <c:overlap val="-27"/>
        <c:axId val="487776368"/>
        <c:axId val="487777936"/>
      </c:barChart>
      <c:catAx>
        <c:axId val="48777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77936"/>
        <c:crosses val="autoZero"/>
        <c:auto val="1"/>
        <c:lblAlgn val="ctr"/>
        <c:lblOffset val="100"/>
        <c:noMultiLvlLbl val="0"/>
      </c:catAx>
      <c:valAx>
        <c:axId val="48777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 per</a:t>
                </a:r>
                <a:r>
                  <a:rPr lang="en-US" baseline="0"/>
                  <a:t> cent change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7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ction List" ma:contentTypeID="0x0101002517F445A0F35E449C98AAD631F2B0386000BF9FDAF71FE12C4CA6EB66F3EAF59B97" ma:contentTypeVersion="11" ma:contentTypeDescription="Used to log actions from meetings" ma:contentTypeScope="" ma:versionID="2d7aa6d35e1117a88b3137bd98c5c57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a1c3bab4d30470caadf44401f3f90800"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8c89ca8-b6b9-4847-a38b-51831b7d3b46}" ma:internalName="TaxCatchAll" ma:showField="CatchAllData"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8c89ca8-b6b9-4847-a38b-51831b7d3b46}" ma:internalName="TaxCatchAllLabel" ma:readOnly="true" ma:showField="CatchAllDataLabel"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2517F445A0F35E449C98AAD631F2B03860" PreviousValue="false"/>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4fc4eb71-37bd-484a-9730-ffe71d98aecc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_dlc_DocId xmlns="a5f32de4-e402-4188-b034-e71ca7d22e54">DOCID523-1673081819-46</_dlc_DocId>
    <_dlc_DocIdUrl xmlns="a5f32de4-e402-4188-b034-e71ca7d22e54">
      <Url>https://delwpvicgovau.sharepoint.com/sites/ecm_523/_layouts/15/DocIdRedir.aspx?ID=DOCID523-1673081819-46</Url>
      <Description>DOCID523-1673081819-46</Description>
    </_dlc_DocIdUrl>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1F0F00-B8B6-424F-9518-6445E424F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C6BBBD-F7DB-4B1B-92E1-955877981C3A}">
  <ds:schemaRefs>
    <ds:schemaRef ds:uri="http://schemas.microsoft.com/sharepoint/events"/>
  </ds:schemaRefs>
</ds:datastoreItem>
</file>

<file path=customXml/itemProps3.xml><?xml version="1.0" encoding="utf-8"?>
<ds:datastoreItem xmlns:ds="http://schemas.openxmlformats.org/officeDocument/2006/customXml" ds:itemID="{035AE514-3793-416C-99B3-A4C72EE2FC98}">
  <ds:schemaRefs>
    <ds:schemaRef ds:uri="Microsoft.SharePoint.Taxonomy.ContentTypeSync"/>
  </ds:schemaRefs>
</ds:datastoreItem>
</file>

<file path=customXml/itemProps4.xml><?xml version="1.0" encoding="utf-8"?>
<ds:datastoreItem xmlns:ds="http://schemas.openxmlformats.org/officeDocument/2006/customXml" ds:itemID="{745B19A7-57F8-4678-9972-4E543EB30E2C}">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366C4890-C5B1-4376-B0A1-3DA0F1144EAB}">
  <ds:schemaRefs>
    <ds:schemaRef ds:uri="http://schemas.microsoft.com/office/2006/metadata/customXsn"/>
  </ds:schemaRefs>
</ds:datastoreItem>
</file>

<file path=customXml/itemProps6.xml><?xml version="1.0" encoding="utf-8"?>
<ds:datastoreItem xmlns:ds="http://schemas.openxmlformats.org/officeDocument/2006/customXml" ds:itemID="{097E9A27-4165-458A-BFE5-E3920E99EF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11900</Words>
  <Characters>67831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Zanrosso (DELWP)</dc:creator>
  <cp:keywords/>
  <dc:description/>
  <cp:lastModifiedBy>Penelope R Jordan (DELWP)</cp:lastModifiedBy>
  <cp:revision>2</cp:revision>
  <dcterms:created xsi:type="dcterms:W3CDTF">2020-03-29T23:27:00Z</dcterms:created>
  <dcterms:modified xsi:type="dcterms:W3CDTF">2020-03-29T23:27:00Z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0x0101002517F445A0F35E449C98AAD631F2B0386000BF9FDAF71FE12C4CA6EB66F3EAF59B97</vt:lpwstr>
  </property>
  <property fmtid="{D5CDD505-2E9C-101B-9397-08002B2CF9AE}" pid="3" name="Section">
    <vt:i4>7</vt:i4>
  </property>
  <property fmtid="{D5CDD505-2E9C-101B-9397-08002B2CF9AE}" pid="4" name="Agency">
    <vt:i4>1</vt:i4>
  </property>
  <property fmtid="{D5CDD505-2E9C-101B-9397-08002B2CF9AE}" pid="5" name="Branch">
    <vt:i4>8</vt:i4>
  </property>
  <property fmtid="{D5CDD505-2E9C-101B-9397-08002B2CF9AE}" pid="6" name="_dlc_DocIdItemGuid">
    <vt:lpwstr>42240f4f-3d64-4e2e-a85f-65c68aeed712</vt:lpwstr>
  </property>
  <property fmtid="{D5CDD505-2E9C-101B-9397-08002B2CF9AE}" pid="7" name="Division">
    <vt:i4>9</vt:i4>
  </property>
  <property fmtid="{D5CDD505-2E9C-101B-9397-08002B2CF9AE}" pid="8" name="Dissemination Limiting Marker">
    <vt:i4>2</vt:i4>
  </property>
  <property fmtid="{D5CDD505-2E9C-101B-9397-08002B2CF9AE}" pid="9" name="Group1">
    <vt:i4>10</vt:i4>
  </property>
  <property fmtid="{D5CDD505-2E9C-101B-9397-08002B2CF9AE}" pid="10" name="Security Classification">
    <vt:i4>3</vt:i4>
  </property>
</Properties>
</file>